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exact"/>
        <w:jc w:val="left"/>
        <w:rPr>
          <w:rFonts w:ascii="黑体" w:eastAsia="黑体" w:cs="仿宋_GB2312"/>
          <w:kern w:val="0"/>
        </w:rPr>
      </w:pPr>
      <w:r>
        <w:rPr>
          <w:rFonts w:hint="eastAsia" w:ascii="黑体" w:eastAsia="黑体" w:cs="仿宋_GB2312"/>
          <w:kern w:val="0"/>
        </w:rPr>
        <w:t>附件4-1</w:t>
      </w:r>
    </w:p>
    <w:p>
      <w:pPr>
        <w:widowControl/>
        <w:shd w:val="clear" w:color="auto" w:fill="FFFFFF"/>
        <w:spacing w:after="156" w:afterLines="5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业绩及信用评审计分表</w:t>
      </w:r>
    </w:p>
    <w:tbl>
      <w:tblPr>
        <w:tblStyle w:val="3"/>
        <w:tblW w:w="10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709"/>
        <w:gridCol w:w="1134"/>
        <w:gridCol w:w="567"/>
        <w:gridCol w:w="1276"/>
        <w:gridCol w:w="2825"/>
        <w:gridCol w:w="882"/>
        <w:gridCol w:w="707"/>
        <w:gridCol w:w="708"/>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序号</w:t>
            </w:r>
          </w:p>
        </w:tc>
        <w:tc>
          <w:tcPr>
            <w:tcW w:w="1843" w:type="dxa"/>
            <w:gridSpan w:val="2"/>
            <w:vMerge w:val="restart"/>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评审因素</w:t>
            </w:r>
          </w:p>
        </w:tc>
        <w:tc>
          <w:tcPr>
            <w:tcW w:w="567" w:type="dxa"/>
            <w:vMerge w:val="restart"/>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最高       分值</w:t>
            </w:r>
          </w:p>
        </w:tc>
        <w:tc>
          <w:tcPr>
            <w:tcW w:w="4101"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评审标准</w:t>
            </w:r>
          </w:p>
        </w:tc>
        <w:tc>
          <w:tcPr>
            <w:tcW w:w="882" w:type="dxa"/>
            <w:vMerge w:val="restart"/>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选取</w:t>
            </w:r>
          </w:p>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方式</w:t>
            </w:r>
          </w:p>
        </w:tc>
        <w:tc>
          <w:tcPr>
            <w:tcW w:w="2126" w:type="dxa"/>
            <w:gridSpan w:val="3"/>
            <w:tcBorders>
              <w:top w:val="single" w:color="auto" w:sz="4" w:space="0"/>
              <w:left w:val="nil"/>
              <w:bottom w:val="nil"/>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184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7"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1276"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类别</w:t>
            </w:r>
          </w:p>
        </w:tc>
        <w:tc>
          <w:tcPr>
            <w:tcW w:w="2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数量和分值</w:t>
            </w:r>
          </w:p>
        </w:tc>
        <w:tc>
          <w:tcPr>
            <w:tcW w:w="88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计分制</w:t>
            </w:r>
          </w:p>
        </w:tc>
        <w:tc>
          <w:tcPr>
            <w:tcW w:w="708"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最低分</w:t>
            </w:r>
          </w:p>
        </w:tc>
        <w:tc>
          <w:tcPr>
            <w:tcW w:w="711"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3"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w:t>
            </w:r>
          </w:p>
        </w:tc>
        <w:tc>
          <w:tcPr>
            <w:tcW w:w="709" w:type="dxa"/>
            <w:tcBorders>
              <w:top w:val="single" w:color="auto" w:sz="4" w:space="0"/>
              <w:left w:val="nil"/>
              <w:bottom w:val="single" w:color="auto" w:sz="4" w:space="0"/>
              <w:right w:val="single" w:color="auto" w:sz="4" w:space="0"/>
            </w:tcBorders>
            <w:noWrap w:val="0"/>
            <w:vAlign w:val="center"/>
          </w:tcPr>
          <w:p>
            <w:pPr>
              <w:widowControl/>
              <w:rPr>
                <w:rFonts w:ascii="宋体" w:hAnsi="宋体" w:eastAsia="宋体" w:cs="仿宋_GB2312"/>
                <w:kern w:val="0"/>
                <w:sz w:val="24"/>
              </w:rPr>
            </w:pPr>
            <w:r>
              <w:rPr>
                <w:rFonts w:hint="eastAsia" w:ascii="宋体" w:hAnsi="宋体" w:eastAsia="宋体" w:cs="仿宋_GB2312"/>
                <w:kern w:val="0"/>
                <w:sz w:val="24"/>
              </w:rPr>
              <w:t>投标企业</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类似工程业绩</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业绩</w:t>
            </w:r>
          </w:p>
        </w:tc>
        <w:tc>
          <w:tcPr>
            <w:tcW w:w="2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施工业绩，每个3分。</w:t>
            </w:r>
          </w:p>
        </w:tc>
        <w:tc>
          <w:tcPr>
            <w:tcW w:w="882" w:type="dxa"/>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招标人根据项目特点确定是否纳入评审</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2</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投标企业</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信用评价</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施工招投标信用评价</w:t>
            </w:r>
          </w:p>
        </w:tc>
        <w:tc>
          <w:tcPr>
            <w:tcW w:w="2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施工招标投标信用评价得分×30%</w:t>
            </w:r>
          </w:p>
        </w:tc>
        <w:tc>
          <w:tcPr>
            <w:tcW w:w="882" w:type="dxa"/>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必选项</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9"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3</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项目管理机构</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项目经理</w:t>
            </w:r>
          </w:p>
        </w:tc>
        <w:tc>
          <w:tcPr>
            <w:tcW w:w="5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不良行为记录</w:t>
            </w:r>
          </w:p>
        </w:tc>
        <w:tc>
          <w:tcPr>
            <w:tcW w:w="282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严重不良行为记录每条扣6分；</w:t>
            </w:r>
          </w:p>
          <w:p>
            <w:pPr>
              <w:widowControl/>
              <w:jc w:val="center"/>
              <w:rPr>
                <w:rFonts w:hint="eastAsia" w:ascii="宋体" w:hAnsi="宋体" w:eastAsia="宋体" w:cs="仿宋_GB2312"/>
                <w:kern w:val="0"/>
                <w:sz w:val="24"/>
              </w:rPr>
            </w:pPr>
            <w:r>
              <w:rPr>
                <w:rFonts w:hint="eastAsia" w:ascii="宋体" w:hAnsi="宋体" w:eastAsia="宋体" w:cs="仿宋_GB2312"/>
                <w:kern w:val="0"/>
                <w:sz w:val="24"/>
              </w:rPr>
              <w:t>一般不良行为记录每条扣3分；</w:t>
            </w:r>
          </w:p>
          <w:p>
            <w:pPr>
              <w:widowControl/>
              <w:jc w:val="center"/>
              <w:rPr>
                <w:rFonts w:ascii="宋体" w:hAnsi="宋体" w:eastAsia="宋体" w:cs="仿宋_GB2312"/>
                <w:kern w:val="0"/>
                <w:sz w:val="24"/>
              </w:rPr>
            </w:pPr>
            <w:r>
              <w:rPr>
                <w:rFonts w:hint="eastAsia" w:ascii="宋体" w:hAnsi="宋体" w:eastAsia="宋体" w:cs="仿宋_GB2312"/>
                <w:kern w:val="0"/>
                <w:sz w:val="24"/>
              </w:rPr>
              <w:t>列入省公管办或省住建厅发布的黑名单扣18分。</w:t>
            </w:r>
          </w:p>
        </w:tc>
        <w:tc>
          <w:tcPr>
            <w:tcW w:w="882"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必选项</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扣分制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-18</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r>
    </w:tbl>
    <w:p>
      <w:pPr>
        <w:spacing w:line="320" w:lineRule="exact"/>
        <w:jc w:val="left"/>
        <w:rPr>
          <w:rFonts w:hint="eastAsia" w:ascii="宋体" w:hAnsi="宋体" w:eastAsia="宋体" w:cs="仿宋_GB2312"/>
          <w:sz w:val="24"/>
        </w:rPr>
      </w:pPr>
      <w:r>
        <w:rPr>
          <w:rFonts w:hint="eastAsia" w:ascii="宋体" w:hAnsi="宋体" w:eastAsia="宋体" w:cs="仿宋_GB2312"/>
          <w:sz w:val="24"/>
        </w:rPr>
        <w:t>注：适用于经评审的最低投标价法</w:t>
      </w:r>
    </w:p>
    <w:p>
      <w:pPr>
        <w:widowControl/>
        <w:shd w:val="clear" w:color="auto" w:fill="FFFFFF"/>
        <w:spacing w:line="480" w:lineRule="exact"/>
        <w:jc w:val="left"/>
        <w:rPr>
          <w:rFonts w:hint="eastAsia" w:ascii="仿宋_GB2312" w:hAnsi="Calibri" w:cs="宋体"/>
          <w:b/>
          <w:bCs/>
          <w:kern w:val="0"/>
          <w:szCs w:val="32"/>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仿宋_GB2312"/>
          <w:b/>
          <w:bCs/>
          <w:kern w:val="0"/>
        </w:rPr>
      </w:pPr>
      <w:r>
        <w:rPr>
          <w:rFonts w:hint="eastAsia" w:ascii="仿宋_GB2312"/>
          <w:b/>
          <w:bCs/>
          <w:kern w:val="0"/>
        </w:rPr>
        <w:t xml:space="preserve"> </w:t>
      </w:r>
    </w:p>
    <w:p>
      <w:pPr>
        <w:widowControl/>
        <w:shd w:val="clear" w:color="auto" w:fill="FFFFFF"/>
        <w:spacing w:line="480" w:lineRule="exact"/>
        <w:jc w:val="left"/>
        <w:rPr>
          <w:rFonts w:hint="eastAsia" w:ascii="黑体" w:eastAsia="黑体" w:cs="仿宋_GB2312"/>
          <w:kern w:val="0"/>
        </w:rPr>
      </w:pPr>
      <w:r>
        <w:rPr>
          <w:rFonts w:hint="eastAsia" w:ascii="黑体" w:eastAsia="黑体" w:cs="仿宋_GB2312"/>
          <w:kern w:val="0"/>
        </w:rPr>
        <w:t>附件4-2</w:t>
      </w:r>
    </w:p>
    <w:p>
      <w:pPr>
        <w:widowControl/>
        <w:shd w:val="clear" w:color="auto" w:fill="FFFFFF"/>
        <w:spacing w:after="156" w:afterLines="50"/>
        <w:jc w:val="center"/>
        <w:rPr>
          <w:rFonts w:hint="eastAsia"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企业资信及履约能力评审计分表</w:t>
      </w:r>
    </w:p>
    <w:tbl>
      <w:tblPr>
        <w:tblStyle w:val="3"/>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681"/>
        <w:gridCol w:w="711"/>
        <w:gridCol w:w="568"/>
        <w:gridCol w:w="995"/>
        <w:gridCol w:w="3952"/>
        <w:gridCol w:w="882"/>
        <w:gridCol w:w="707"/>
        <w:gridCol w:w="708"/>
        <w:gridCol w:w="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1847"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评审因素</w:t>
            </w:r>
          </w:p>
        </w:tc>
        <w:tc>
          <w:tcPr>
            <w:tcW w:w="568" w:type="dxa"/>
            <w:vMerge w:val="restart"/>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最高       分值</w:t>
            </w:r>
          </w:p>
        </w:tc>
        <w:tc>
          <w:tcPr>
            <w:tcW w:w="494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评审标准</w:t>
            </w:r>
          </w:p>
        </w:tc>
        <w:tc>
          <w:tcPr>
            <w:tcW w:w="882" w:type="dxa"/>
            <w:vMerge w:val="restart"/>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选取</w:t>
            </w:r>
          </w:p>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方式</w:t>
            </w:r>
          </w:p>
        </w:tc>
        <w:tc>
          <w:tcPr>
            <w:tcW w:w="2126" w:type="dxa"/>
            <w:gridSpan w:val="3"/>
            <w:tcBorders>
              <w:top w:val="single" w:color="auto" w:sz="4" w:space="0"/>
              <w:left w:val="nil"/>
              <w:bottom w:val="nil"/>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计分方式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8" w:hRule="atLeast"/>
          <w:jc w:val="center"/>
        </w:trPr>
        <w:tc>
          <w:tcPr>
            <w:tcW w:w="1847"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995"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类别</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数量和分值</w:t>
            </w:r>
          </w:p>
        </w:tc>
        <w:tc>
          <w:tcPr>
            <w:tcW w:w="882"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计分制</w:t>
            </w:r>
          </w:p>
        </w:tc>
        <w:tc>
          <w:tcPr>
            <w:tcW w:w="708"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最低分</w:t>
            </w:r>
          </w:p>
        </w:tc>
        <w:tc>
          <w:tcPr>
            <w:tcW w:w="711"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最高分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1" w:hRule="atLeast"/>
          <w:jc w:val="center"/>
        </w:trPr>
        <w:tc>
          <w:tcPr>
            <w:tcW w:w="45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w:t>
            </w:r>
          </w:p>
        </w:tc>
        <w:tc>
          <w:tcPr>
            <w:tcW w:w="681" w:type="dxa"/>
            <w:vMerge w:val="restart"/>
            <w:tcBorders>
              <w:top w:val="nil"/>
              <w:left w:val="nil"/>
              <w:bottom w:val="single" w:color="auto" w:sz="4" w:space="0"/>
              <w:right w:val="single" w:color="auto" w:sz="4" w:space="0"/>
            </w:tcBorders>
            <w:noWrap w:val="0"/>
            <w:vAlign w:val="center"/>
          </w:tcPr>
          <w:p>
            <w:pPr>
              <w:widowControl/>
              <w:rPr>
                <w:rFonts w:ascii="宋体" w:hAnsi="宋体" w:eastAsia="宋体" w:cs="仿宋_GB2312"/>
                <w:kern w:val="0"/>
                <w:sz w:val="24"/>
              </w:rPr>
            </w:pPr>
            <w:r>
              <w:rPr>
                <w:rFonts w:hint="eastAsia" w:ascii="宋体" w:hAnsi="宋体" w:eastAsia="宋体" w:cs="仿宋_GB2312"/>
                <w:kern w:val="0"/>
                <w:sz w:val="24"/>
              </w:rPr>
              <w:t>投标企业</w:t>
            </w:r>
          </w:p>
        </w:tc>
        <w:tc>
          <w:tcPr>
            <w:tcW w:w="711" w:type="dxa"/>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奖项</w:t>
            </w:r>
          </w:p>
        </w:tc>
        <w:tc>
          <w:tcPr>
            <w:tcW w:w="568" w:type="dxa"/>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10</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国家级</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鲁班奖，每个2.5分；</w:t>
            </w:r>
          </w:p>
          <w:p>
            <w:pPr>
              <w:jc w:val="center"/>
              <w:rPr>
                <w:rFonts w:ascii="宋体" w:hAnsi="宋体" w:eastAsia="宋体" w:cs="仿宋_GB2312"/>
                <w:kern w:val="0"/>
                <w:sz w:val="24"/>
              </w:rPr>
            </w:pPr>
            <w:r>
              <w:rPr>
                <w:rFonts w:hint="eastAsia" w:ascii="宋体" w:hAnsi="宋体" w:eastAsia="宋体" w:cs="仿宋_GB2312"/>
                <w:kern w:val="0"/>
                <w:sz w:val="24"/>
              </w:rPr>
              <w:t>国家优质工程奖，每个2.2分；</w:t>
            </w:r>
          </w:p>
        </w:tc>
        <w:tc>
          <w:tcPr>
            <w:tcW w:w="882" w:type="dxa"/>
            <w:vMerge w:val="restart"/>
            <w:tcBorders>
              <w:top w:val="nil"/>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招标人根据项目规模及评标办法相关规定，确定是否纳入评审</w:t>
            </w:r>
          </w:p>
        </w:tc>
        <w:tc>
          <w:tcPr>
            <w:tcW w:w="707" w:type="dxa"/>
            <w:vMerge w:val="restart"/>
            <w:tcBorders>
              <w:top w:val="nil"/>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68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1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省级</w:t>
            </w:r>
          </w:p>
        </w:tc>
        <w:tc>
          <w:tcPr>
            <w:tcW w:w="3952"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省芙蓉奖，每个2分；</w:t>
            </w:r>
          </w:p>
          <w:p>
            <w:pPr>
              <w:jc w:val="center"/>
              <w:rPr>
                <w:rFonts w:ascii="宋体" w:hAnsi="宋体" w:eastAsia="宋体" w:cs="仿宋_GB2312"/>
                <w:kern w:val="0"/>
                <w:sz w:val="24"/>
              </w:rPr>
            </w:pPr>
            <w:r>
              <w:rPr>
                <w:rFonts w:hint="eastAsia" w:ascii="宋体" w:hAnsi="宋体" w:eastAsia="宋体" w:cs="仿宋_GB2312"/>
                <w:kern w:val="0"/>
                <w:sz w:val="24"/>
              </w:rPr>
              <w:t>省优质工程奖，每个1.5分；</w:t>
            </w:r>
          </w:p>
        </w:tc>
        <w:tc>
          <w:tcPr>
            <w:tcW w:w="88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68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11" w:type="dxa"/>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标准化工地</w:t>
            </w:r>
          </w:p>
        </w:tc>
        <w:tc>
          <w:tcPr>
            <w:tcW w:w="568" w:type="dxa"/>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7</w:t>
            </w:r>
          </w:p>
        </w:tc>
        <w:tc>
          <w:tcPr>
            <w:tcW w:w="995" w:type="dxa"/>
            <w:tcBorders>
              <w:top w:val="single" w:color="auto" w:sz="4" w:space="0"/>
              <w:left w:val="nil"/>
              <w:bottom w:val="single" w:color="auto" w:sz="4" w:space="0"/>
              <w:right w:val="single" w:color="auto" w:sz="4" w:space="0"/>
            </w:tcBorders>
            <w:noWrap w:val="0"/>
            <w:vAlign w:val="center"/>
          </w:tcPr>
          <w:p>
            <w:pPr>
              <w:ind w:right="-122" w:rightChars="-38"/>
              <w:jc w:val="center"/>
              <w:rPr>
                <w:rFonts w:ascii="宋体" w:hAnsi="宋体" w:eastAsia="宋体" w:cs="仿宋_GB2312"/>
                <w:kern w:val="0"/>
                <w:sz w:val="24"/>
              </w:rPr>
            </w:pPr>
            <w:r>
              <w:rPr>
                <w:rFonts w:hint="eastAsia" w:ascii="宋体" w:hAnsi="宋体" w:eastAsia="宋体" w:cs="仿宋_GB2312"/>
                <w:kern w:val="0"/>
                <w:sz w:val="24"/>
              </w:rPr>
              <w:t>国家级</w:t>
            </w:r>
          </w:p>
        </w:tc>
        <w:tc>
          <w:tcPr>
            <w:tcW w:w="3952"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建设工程项目施工工地安全生产标准化学习交流项目，每个1.5分；</w:t>
            </w:r>
          </w:p>
        </w:tc>
        <w:tc>
          <w:tcPr>
            <w:tcW w:w="88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7"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68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1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995" w:type="dxa"/>
            <w:tcBorders>
              <w:top w:val="single" w:color="auto" w:sz="4" w:space="0"/>
              <w:left w:val="nil"/>
              <w:bottom w:val="single" w:color="auto" w:sz="4" w:space="0"/>
              <w:right w:val="single" w:color="auto" w:sz="4" w:space="0"/>
            </w:tcBorders>
            <w:noWrap w:val="0"/>
            <w:vAlign w:val="center"/>
          </w:tcPr>
          <w:p>
            <w:pPr>
              <w:ind w:right="-122" w:rightChars="-38"/>
              <w:jc w:val="center"/>
              <w:rPr>
                <w:rFonts w:ascii="宋体" w:hAnsi="宋体" w:eastAsia="宋体" w:cs="仿宋_GB2312"/>
                <w:kern w:val="0"/>
                <w:sz w:val="24"/>
              </w:rPr>
            </w:pPr>
            <w:r>
              <w:rPr>
                <w:rFonts w:hint="eastAsia" w:ascii="宋体" w:hAnsi="宋体" w:eastAsia="宋体" w:cs="仿宋_GB2312"/>
                <w:kern w:val="0"/>
                <w:sz w:val="24"/>
              </w:rPr>
              <w:t>省级</w:t>
            </w:r>
          </w:p>
        </w:tc>
        <w:tc>
          <w:tcPr>
            <w:tcW w:w="3952"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省建筑施工质量管理标准化年度考评优良工地，每个0.1分；</w:t>
            </w:r>
          </w:p>
          <w:p>
            <w:pPr>
              <w:jc w:val="center"/>
              <w:rPr>
                <w:rFonts w:ascii="宋体" w:hAnsi="宋体" w:eastAsia="宋体" w:cs="仿宋_GB2312"/>
                <w:kern w:val="0"/>
                <w:sz w:val="24"/>
              </w:rPr>
            </w:pPr>
            <w:r>
              <w:rPr>
                <w:rFonts w:hint="eastAsia" w:ascii="宋体" w:hAnsi="宋体" w:eastAsia="宋体" w:cs="仿宋_GB2312"/>
                <w:kern w:val="0"/>
                <w:sz w:val="24"/>
              </w:rPr>
              <w:t>省建筑施工安全生产标准化年度项目考评优良工地，每个0.1分。</w:t>
            </w:r>
          </w:p>
        </w:tc>
        <w:tc>
          <w:tcPr>
            <w:tcW w:w="88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5"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68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类似工程业绩</w:t>
            </w: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9</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业绩</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施工业绩，每个3分。</w:t>
            </w:r>
          </w:p>
        </w:tc>
        <w:tc>
          <w:tcPr>
            <w:tcW w:w="882" w:type="dxa"/>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招标人根据项目特点确定是否纳入评审</w:t>
            </w: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6" w:hRule="atLeast"/>
          <w:jc w:val="center"/>
        </w:trPr>
        <w:tc>
          <w:tcPr>
            <w:tcW w:w="455"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2</w:t>
            </w:r>
          </w:p>
        </w:tc>
        <w:tc>
          <w:tcPr>
            <w:tcW w:w="681" w:type="dxa"/>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投标企业</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信用评价</w:t>
            </w: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施工招投标信用评价</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施工招标投标信用评价得分×30%</w:t>
            </w:r>
          </w:p>
        </w:tc>
        <w:tc>
          <w:tcPr>
            <w:tcW w:w="882" w:type="dxa"/>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必选项</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5"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681"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安全质量</w:t>
            </w: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安全质量管理评价</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现场安全质量管理评价得分×30%</w:t>
            </w:r>
          </w:p>
        </w:tc>
        <w:tc>
          <w:tcPr>
            <w:tcW w:w="882" w:type="dxa"/>
            <w:tcBorders>
              <w:top w:val="single" w:color="auto" w:sz="4" w:space="0"/>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必选项</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1" w:hRule="atLeast"/>
          <w:jc w:val="center"/>
        </w:trPr>
        <w:tc>
          <w:tcPr>
            <w:tcW w:w="455" w:type="dxa"/>
            <w:vMerge w:val="restart"/>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仿宋_GB2312"/>
                <w:kern w:val="0"/>
                <w:sz w:val="24"/>
              </w:rPr>
            </w:pPr>
            <w:r>
              <w:rPr>
                <w:rFonts w:hint="eastAsia" w:ascii="宋体" w:hAnsi="宋体" w:eastAsia="宋体" w:cs="仿宋_GB2312"/>
                <w:kern w:val="0"/>
                <w:sz w:val="24"/>
              </w:rPr>
              <w:t>3</w:t>
            </w:r>
          </w:p>
        </w:tc>
        <w:tc>
          <w:tcPr>
            <w:tcW w:w="1392" w:type="dxa"/>
            <w:gridSpan w:val="2"/>
            <w:vMerge w:val="restart"/>
            <w:tcBorders>
              <w:top w:val="nil"/>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项目经理</w:t>
            </w: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10</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现场</w:t>
            </w:r>
          </w:p>
          <w:p>
            <w:pPr>
              <w:widowControl/>
              <w:jc w:val="center"/>
              <w:rPr>
                <w:rFonts w:ascii="宋体" w:hAnsi="宋体" w:eastAsia="宋体" w:cs="仿宋_GB2312"/>
                <w:kern w:val="0"/>
                <w:sz w:val="24"/>
              </w:rPr>
            </w:pPr>
            <w:r>
              <w:rPr>
                <w:rFonts w:hint="eastAsia" w:ascii="宋体" w:hAnsi="宋体" w:eastAsia="宋体" w:cs="仿宋_GB2312"/>
                <w:kern w:val="0"/>
                <w:sz w:val="24"/>
              </w:rPr>
              <w:t>答辩</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阐述是否流畅、条理是否清晰、回答问题是否完整；现场答辩是否充分结合招标项目实际，是否具有较强的针对性。</w:t>
            </w:r>
          </w:p>
        </w:tc>
        <w:tc>
          <w:tcPr>
            <w:tcW w:w="882" w:type="dxa"/>
            <w:vMerge w:val="restart"/>
            <w:tcBorders>
              <w:top w:val="nil"/>
              <w:left w:val="nil"/>
              <w:bottom w:val="single" w:color="auto" w:sz="4" w:space="0"/>
              <w:right w:val="single" w:color="auto" w:sz="4" w:space="0"/>
            </w:tcBorders>
            <w:noWrap w:val="0"/>
            <w:vAlign w:val="center"/>
          </w:tcPr>
          <w:p>
            <w:pPr>
              <w:widowControl/>
              <w:ind w:left="-122" w:leftChars="-38" w:right="-154" w:rightChars="-48"/>
              <w:jc w:val="center"/>
              <w:rPr>
                <w:rFonts w:ascii="宋体" w:hAnsi="宋体" w:eastAsia="宋体" w:cs="仿宋_GB2312"/>
                <w:kern w:val="0"/>
                <w:sz w:val="24"/>
              </w:rPr>
            </w:pPr>
            <w:r>
              <w:rPr>
                <w:rFonts w:hint="eastAsia" w:ascii="宋体" w:hAnsi="宋体" w:eastAsia="宋体" w:cs="仿宋_GB2312"/>
                <w:kern w:val="0"/>
                <w:sz w:val="24"/>
              </w:rPr>
              <w:t>招标人根据项目特点确定是否纳入评审</w:t>
            </w:r>
          </w:p>
        </w:tc>
        <w:tc>
          <w:tcPr>
            <w:tcW w:w="707" w:type="dxa"/>
            <w:vMerge w:val="restart"/>
            <w:tcBorders>
              <w:top w:val="nil"/>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加分制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bCs/>
                <w:kern w:val="0"/>
                <w:sz w:val="24"/>
              </w:rPr>
              <w:t>6</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1392"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2</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业绩</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承担过类似业绩，每个2分</w:t>
            </w:r>
          </w:p>
        </w:tc>
        <w:tc>
          <w:tcPr>
            <w:tcW w:w="88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0"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1392"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2</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奖项</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国家级每个2分，省级每个1分</w:t>
            </w:r>
          </w:p>
        </w:tc>
        <w:tc>
          <w:tcPr>
            <w:tcW w:w="882"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7" w:type="dxa"/>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0" w:hRule="atLeast"/>
          <w:jc w:val="center"/>
        </w:trPr>
        <w:tc>
          <w:tcPr>
            <w:tcW w:w="45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1392" w:type="dxa"/>
            <w:gridSpan w:val="2"/>
            <w:vMerge w:val="continue"/>
            <w:tcBorders>
              <w:top w:val="nil"/>
              <w:left w:val="nil"/>
              <w:bottom w:val="single" w:color="auto" w:sz="4" w:space="0"/>
              <w:right w:val="single" w:color="auto" w:sz="4" w:space="0"/>
            </w:tcBorders>
            <w:noWrap w:val="0"/>
            <w:vAlign w:val="center"/>
          </w:tcPr>
          <w:p>
            <w:pPr>
              <w:widowControl/>
              <w:jc w:val="left"/>
              <w:rPr>
                <w:rFonts w:ascii="宋体" w:hAnsi="宋体" w:eastAsia="宋体" w:cs="仿宋_GB2312"/>
                <w:kern w:val="0"/>
                <w:sz w:val="24"/>
              </w:rPr>
            </w:pPr>
          </w:p>
        </w:tc>
        <w:tc>
          <w:tcPr>
            <w:tcW w:w="56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c>
          <w:tcPr>
            <w:tcW w:w="9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不良行为记录</w:t>
            </w:r>
          </w:p>
        </w:tc>
        <w:tc>
          <w:tcPr>
            <w:tcW w:w="395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严重不良行为记录每条扣6分；</w:t>
            </w:r>
          </w:p>
          <w:p>
            <w:pPr>
              <w:widowControl/>
              <w:jc w:val="center"/>
              <w:rPr>
                <w:rFonts w:hint="eastAsia" w:ascii="宋体" w:hAnsi="宋体" w:eastAsia="宋体" w:cs="仿宋_GB2312"/>
                <w:kern w:val="0"/>
                <w:sz w:val="24"/>
              </w:rPr>
            </w:pPr>
            <w:r>
              <w:rPr>
                <w:rFonts w:hint="eastAsia" w:ascii="宋体" w:hAnsi="宋体" w:eastAsia="宋体" w:cs="仿宋_GB2312"/>
                <w:kern w:val="0"/>
                <w:sz w:val="24"/>
              </w:rPr>
              <w:t>一般不良行为记录每条扣3分。</w:t>
            </w:r>
          </w:p>
          <w:p>
            <w:pPr>
              <w:widowControl/>
              <w:jc w:val="center"/>
              <w:rPr>
                <w:rFonts w:ascii="宋体" w:hAnsi="宋体" w:eastAsia="宋体" w:cs="仿宋_GB2312"/>
                <w:kern w:val="0"/>
                <w:sz w:val="24"/>
              </w:rPr>
            </w:pPr>
            <w:r>
              <w:rPr>
                <w:rFonts w:hint="eastAsia" w:ascii="宋体" w:hAnsi="宋体" w:eastAsia="宋体" w:cs="仿宋_GB2312"/>
                <w:kern w:val="0"/>
                <w:sz w:val="24"/>
              </w:rPr>
              <w:t>列入省公管办或省住建厅发布的黑名单扣18分。</w:t>
            </w:r>
          </w:p>
        </w:tc>
        <w:tc>
          <w:tcPr>
            <w:tcW w:w="882"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必选项</w:t>
            </w:r>
          </w:p>
        </w:tc>
        <w:tc>
          <w:tcPr>
            <w:tcW w:w="707" w:type="dxa"/>
            <w:tcBorders>
              <w:top w:val="single" w:color="auto" w:sz="4" w:space="0"/>
              <w:left w:val="nil"/>
              <w:bottom w:val="single" w:color="auto" w:sz="4" w:space="0"/>
              <w:right w:val="single" w:color="auto" w:sz="4" w:space="0"/>
            </w:tcBorders>
            <w:noWrap w:val="0"/>
            <w:vAlign w:val="center"/>
          </w:tcPr>
          <w:p>
            <w:pPr>
              <w:widowControl/>
              <w:ind w:left="-275" w:leftChars="-86" w:right="-205" w:rightChars="-64"/>
              <w:jc w:val="center"/>
              <w:rPr>
                <w:rFonts w:ascii="宋体" w:hAnsi="宋体" w:eastAsia="宋体" w:cs="仿宋_GB2312"/>
                <w:kern w:val="0"/>
                <w:sz w:val="24"/>
              </w:rPr>
            </w:pPr>
            <w:r>
              <w:rPr>
                <w:rFonts w:hint="eastAsia" w:ascii="宋体" w:hAnsi="宋体" w:eastAsia="宋体" w:cs="仿宋_GB2312"/>
                <w:kern w:val="0"/>
                <w:sz w:val="24"/>
              </w:rPr>
              <w:t>扣分制</w:t>
            </w:r>
          </w:p>
        </w:tc>
        <w:tc>
          <w:tcPr>
            <w:tcW w:w="7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-18</w:t>
            </w:r>
          </w:p>
        </w:tc>
        <w:tc>
          <w:tcPr>
            <w:tcW w:w="711"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仿宋_GB2312"/>
                <w:kern w:val="0"/>
                <w:sz w:val="24"/>
              </w:rPr>
            </w:pPr>
            <w:r>
              <w:rPr>
                <w:rFonts w:hint="eastAsia" w:ascii="宋体" w:hAnsi="宋体" w:eastAsia="宋体" w:cs="仿宋_GB2312"/>
                <w:kern w:val="0"/>
                <w:sz w:val="24"/>
              </w:rPr>
              <w:t>0</w:t>
            </w:r>
          </w:p>
        </w:tc>
      </w:tr>
    </w:tbl>
    <w:p>
      <w:pPr>
        <w:spacing w:line="336" w:lineRule="auto"/>
        <w:rPr>
          <w:rFonts w:hint="eastAsia" w:ascii="宋体" w:hAnsi="宋体" w:eastAsia="宋体" w:cs="仿宋_GB2312"/>
          <w:sz w:val="24"/>
        </w:rPr>
      </w:pPr>
      <w:r>
        <w:rPr>
          <w:rFonts w:hint="eastAsia" w:ascii="宋体" w:hAnsi="宋体" w:eastAsia="宋体" w:cs="仿宋_GB2312"/>
          <w:sz w:val="24"/>
        </w:rPr>
        <w:t>注：</w:t>
      </w:r>
    </w:p>
    <w:p>
      <w:pPr>
        <w:spacing w:line="336" w:lineRule="auto"/>
        <w:rPr>
          <w:rFonts w:hint="eastAsia" w:ascii="宋体" w:hAnsi="宋体" w:eastAsia="宋体" w:cs="仿宋_GB2312"/>
          <w:sz w:val="24"/>
        </w:rPr>
      </w:pPr>
      <w:r>
        <w:rPr>
          <w:rFonts w:hint="eastAsia" w:ascii="宋体" w:hAnsi="宋体" w:eastAsia="宋体" w:cs="仿宋_GB2312"/>
          <w:sz w:val="24"/>
        </w:rPr>
        <w:t>1．奖项和标准化工地：</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1.1  最高投标限价≥20000万元的施工总承包项目、最高投标限价≥3000万元的施工专业承包项目，应当将奖项和标准化工地全部列入评审计分范围（国家级和省级奖项可由招标人根据项目实际情况从1-3个中进行选择，但国家级和省级奖项数量须保持一致；国家级标准化工地评审数量可由招标人根据项目实际情况从1-2个中进行选择；省建筑施工质量管理标准化年度项目考评优良工地评审数量可由招标人根据项目实际情况从10-20个中进行选择；省建筑施工安全生产标准化年度项目考评优良工地评审数量可由招标人根据项目实际情况从10-20个中进行选择，但质量管理、安全生产标准化工地评审数量应当保持一致）；</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1.2  5000万元≤最高投标限价＜20000万元的施工总承包项目、1500万元≤最高投标限价＜3000万元的施工专业承包项目，奖项和标准化工地可以列入评审计分范围（国家级和省级奖项可由招标人根据项目实际情况从0-3个中进行选择，但国家级和省级奖项数量须保持一致；国家级标准化工地评审数量可由招标人根据项目实际情况从0-2个中进行选择；省建筑施工质量管理标准化年度项目考评优良工地评审数量可由招标人根据项目实际情况从0-10个中进行选择；省建筑施工安全生产标准化年度项目考评优良工地评审数量可由招标人根据项目实际情况从0-10个中进行选择，但质量管理、安全生产标准化工地评审数量应当保持一致）；</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1.3  最高投标限价＜5000万元的施工总承包项目、最高投标限价＜1500万元的施工专业承包项目，奖项和标准化工地均不得列入评审计分范围。</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1.4考核依据和期限</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国家级奖项计分有效期为提交投标文件截止时间前730天；标准化工地和省级奖项计分有效期为提交投标文件截止时间前365天。</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1.5加分规则</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1.5.1奖项</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招标项目为房屋建筑施工总承包和市政施工总承包工程的，招标项目工程类型与获奖工程的工程类型不一致，则该获奖工程不予计分，即：房屋建筑工程招标不对获奖的市政基础设施工程计分，市政基础设施工程招标不对获奖的房屋建筑工程计分；以专业资质获得的奖项和以参建单位获得的奖项均不予计分。承建单位有两个及以上的，分别按照计分规则分值的1／2计取。</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（2）招标项目为专业工程的，仅对以同专业资质获得的相应奖项计分。以总承包资质获得的奖项不予计分。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获奖文件中无法分辨专业类别的，投标人应当在投标文件中提供获奖项目的中标通知书或合同作为证明材料；无法提供的，不予计分。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1.5.2标准化工地</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招标项目为房屋建筑施工总承包和市政施工总承包工程的，招标项目工程类型与标准化工地的工程类型不一致，则该标准化工地不予计分，即：房屋建筑工程招标不对获得标准化工地的市政基础设施工程计分，市政基础设施工程招标不对获得标准化工地的房屋建筑工程计分；专业工程获得的标准化工地不予计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（2）招标项目为专业工程的，仅对同专业工程获得的相应标准化工地计分。以施工总承包资质获得标准化工地的不予计分。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1.5.3同一工程的奖项（含</w:t>
      </w:r>
      <w:r>
        <w:rPr>
          <w:rFonts w:hint="eastAsia" w:ascii="宋体" w:hAnsi="宋体" w:eastAsia="宋体" w:cs="仿宋_GB2312"/>
          <w:bCs/>
          <w:sz w:val="24"/>
        </w:rPr>
        <w:t>绿色建筑</w:t>
      </w:r>
      <w:r>
        <w:rPr>
          <w:rFonts w:hint="eastAsia" w:ascii="宋体" w:hAnsi="宋体" w:eastAsia="宋体" w:cs="仿宋_GB2312"/>
          <w:sz w:val="24"/>
        </w:rPr>
        <w:t>）、标准化工地加分规则</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（1）同一工程的奖项，仅按最高奖项（级）计算一次；</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（2）同一工程同时获得质量类和安全类标准化工地，应分别予以计分；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（3）同一工程同时获得国家级、省级安全类标准化工地，仅按国家级标准化工地计分，不得同时计分。</w:t>
      </w:r>
    </w:p>
    <w:p>
      <w:pPr>
        <w:spacing w:line="336" w:lineRule="auto"/>
        <w:ind w:firstLine="480" w:firstLineChars="200"/>
        <w:rPr>
          <w:rFonts w:hint="eastAsia" w:ascii="宋体" w:hAnsi="宋体" w:eastAsia="宋体" w:cs="仿宋_GB2312"/>
          <w:bCs/>
          <w:sz w:val="24"/>
        </w:rPr>
      </w:pPr>
      <w:r>
        <w:rPr>
          <w:rFonts w:hint="eastAsia" w:ascii="宋体" w:hAnsi="宋体" w:eastAsia="宋体" w:cs="仿宋_GB2312"/>
          <w:bCs/>
          <w:sz w:val="24"/>
        </w:rPr>
        <w:t>1.6 绿色建筑加分规定</w:t>
      </w:r>
    </w:p>
    <w:p>
      <w:pPr>
        <w:spacing w:line="336" w:lineRule="auto"/>
        <w:ind w:firstLine="480" w:firstLineChars="200"/>
        <w:rPr>
          <w:rFonts w:hint="eastAsia" w:ascii="宋体" w:hAnsi="宋体" w:eastAsia="宋体" w:cs="仿宋_GB2312"/>
          <w:bCs/>
          <w:sz w:val="24"/>
        </w:rPr>
      </w:pPr>
      <w:r>
        <w:rPr>
          <w:rFonts w:hint="eastAsia" w:ascii="宋体" w:hAnsi="宋体" w:eastAsia="宋体" w:cs="仿宋_GB2312"/>
          <w:bCs/>
          <w:sz w:val="24"/>
        </w:rPr>
        <w:t>招标项目中包含绿色建筑内容或要求的，招标人可在国家级奖项中增加三星绿色建筑标识加分（每个1分），以住房和城乡建设部公布文件为准；可在省级奖项中增加二星绿色建筑标识、绿色施工工程（每个0.5分），以湖南省住房和城乡建设厅公布文件为准。增加绿色建筑标识、绿色施工工程后，国家级奖项和省级奖项规定的个数和最高分不变。</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 xml:space="preserve"> 1.7 园林绿化工程加分规定</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bCs/>
          <w:sz w:val="24"/>
        </w:rPr>
        <w:t>招标工程为园林绿化工程的，</w:t>
      </w:r>
      <w:r>
        <w:rPr>
          <w:rFonts w:hint="eastAsia" w:ascii="宋体" w:hAnsi="宋体" w:eastAsia="宋体" w:cs="仿宋_GB2312"/>
          <w:sz w:val="24"/>
        </w:rPr>
        <w:t>国家级奖项仅对中国人居环境范例奖（园林绿化获奖项目）加分（每个2分），以住房和城乡建设部公布文件为准；省级奖项仅对湖南省园林绿化优质工程加分（每个1分），以湖南省园林绿化协会公布文件为准。</w:t>
      </w:r>
      <w:r>
        <w:rPr>
          <w:rFonts w:hint="eastAsia" w:ascii="宋体" w:hAnsi="宋体" w:eastAsia="宋体" w:cs="仿宋_GB2312"/>
          <w:bCs/>
          <w:sz w:val="24"/>
        </w:rPr>
        <w:t>国家级、省级奖项规定的个数和对应最高分不变</w:t>
      </w:r>
      <w:r>
        <w:rPr>
          <w:rFonts w:hint="eastAsia" w:ascii="宋体" w:hAnsi="宋体" w:eastAsia="宋体" w:cs="仿宋_GB2312"/>
          <w:sz w:val="24"/>
        </w:rPr>
        <w:t>；标准化工地均不加分。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1.8与我省签署了招标投标信息共享备忘录的省区市发布的相关获奖和标准化工地可以用于我省招投标。</w:t>
      </w:r>
    </w:p>
    <w:p>
      <w:pPr>
        <w:spacing w:line="336" w:lineRule="auto"/>
        <w:rPr>
          <w:rFonts w:hint="eastAsia" w:ascii="宋体" w:hAnsi="宋体" w:eastAsia="宋体" w:cs="仿宋_GB2312"/>
          <w:sz w:val="24"/>
        </w:rPr>
      </w:pPr>
      <w:r>
        <w:rPr>
          <w:rFonts w:hint="eastAsia" w:ascii="宋体" w:hAnsi="宋体" w:eastAsia="宋体" w:cs="仿宋_GB2312"/>
          <w:sz w:val="24"/>
        </w:rPr>
        <w:t>2. 投标人类似工程业绩：</w:t>
      </w:r>
    </w:p>
    <w:p>
      <w:pPr>
        <w:snapToGrid w:val="0"/>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招标人可以根据项目实际情况选取0-3个类似工程业绩纳入评审。</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2.1类似工程业绩以中标通知书（招标工程提交）、 合同和竣工验收资料为准。相关指标不一致时，依次按照中标通知书、合同、竣工验收资料的顺序认定。竣工验收资料是指竣工验收备案表（经建设工程质量监督部门签字确认）或者竣工验收证明（由建设单位、施工单位、监理单位、设计单位盖章认可，下同）。并提供“湖南省智慧住建云—湖南省建筑市场监管公共服务平台”或者“全国建筑市场监管公共服务平台”上体现其作为承包人的项目网页截图。</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2.2业绩的有效时间：1095天，按工程竣工验收文件中建设单位签字之日起计算。</w:t>
      </w:r>
    </w:p>
    <w:p>
      <w:pPr>
        <w:spacing w:line="336" w:lineRule="auto"/>
        <w:rPr>
          <w:rFonts w:hint="eastAsia" w:ascii="宋体" w:hAnsi="宋体" w:eastAsia="宋体" w:cs="仿宋_GB2312"/>
          <w:sz w:val="24"/>
        </w:rPr>
      </w:pPr>
      <w:r>
        <w:rPr>
          <w:rFonts w:hint="eastAsia" w:ascii="宋体" w:hAnsi="宋体" w:eastAsia="宋体" w:cs="仿宋_GB2312"/>
          <w:sz w:val="24"/>
        </w:rPr>
        <w:t>3．信用评价</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3.1施工单位信用评价情况采用提交投标文件截止之时最新公告的信用评价结果。评标时以在“湖南省智慧住建云—湖南省建筑市场监管公共服务平台”中查询的结果为准；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3.2以联合体投标的，其中施工单位有两家（含两家）以上的，由招标人在招标文件中确定联合体信用评价的计分方式。</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3.3未参加信用评价的投标人（含联合体各成员方），按照信用评价处于末位的合格投标人的分值计取，其中被列入省公管办或省住建厅发布的失信黑名单的投标人，按照信用评价处于末位的合格投标人的分值扣除60分计取。</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3.4招标项目为专业工程、园林绿化工程的，评标时投标人的信用评价分值统一计100分。</w:t>
      </w:r>
    </w:p>
    <w:p>
      <w:pPr>
        <w:spacing w:line="336" w:lineRule="auto"/>
        <w:rPr>
          <w:rFonts w:hint="eastAsia" w:ascii="宋体" w:hAnsi="宋体" w:eastAsia="宋体" w:cs="仿宋_GB2312"/>
          <w:sz w:val="24"/>
        </w:rPr>
      </w:pPr>
      <w:r>
        <w:rPr>
          <w:rFonts w:hint="eastAsia" w:ascii="宋体" w:hAnsi="宋体" w:eastAsia="宋体" w:cs="仿宋_GB2312"/>
          <w:sz w:val="24"/>
        </w:rPr>
        <w:t>4.现场安全质量管理评价</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4.1现场安全质量管理评价得分F=［F1+F2］/2;</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其中， F1、F2——现场安全、质量管理评价得分；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F1（F2 ）=［K1+K2+…+ Km］/ m；</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K1、K2、Km——投标人在本省行政区域内项目的安全（质量）考评得分；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m——投标人的安全（质量）考评项目个数。</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4.2 现场安全质量管理评价情况采用提交资格预审申请文件或投标文件截止之时最新公布的现场安全质量管理评价结果。评标时以在“湖南省智慧住建云—湖南省建筑市场监管公共服务平台”中查询的结果为准。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4.3以联合体投标的，其中施工单位有两家（含两家）以上的，由招标人在招标文件中明确联合体现场安全质量管理评价的计分方式。</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4.4 未参加现场安全质量管理评价的投标人（含联合体各成员方），按照现场安全质量管理评价处于末位的合格投标人的分值计取。</w:t>
      </w:r>
    </w:p>
    <w:p>
      <w:pPr>
        <w:spacing w:line="336" w:lineRule="auto"/>
        <w:ind w:firstLine="480" w:firstLineChars="200"/>
        <w:rPr>
          <w:rFonts w:hint="eastAsia" w:ascii="宋体" w:hAnsi="宋体" w:eastAsia="宋体" w:cs="仿宋_GB2312"/>
          <w:b/>
          <w:bCs/>
          <w:sz w:val="24"/>
          <w:u w:val="single"/>
        </w:rPr>
      </w:pPr>
      <w:r>
        <w:rPr>
          <w:rFonts w:hint="eastAsia" w:ascii="宋体" w:hAnsi="宋体" w:eastAsia="宋体" w:cs="仿宋_GB2312"/>
          <w:sz w:val="24"/>
        </w:rPr>
        <w:t>4.5 专业工程的施工招标，评标时投标人的现场安全质量管理评价分值统一计100分；</w:t>
      </w:r>
      <w:r>
        <w:rPr>
          <w:rFonts w:hint="eastAsia" w:ascii="宋体" w:hAnsi="宋体" w:eastAsia="宋体" w:cs="仿宋_GB2312"/>
          <w:bCs/>
          <w:sz w:val="24"/>
        </w:rPr>
        <w:t>园林绿化工程施工招标投标人的现场安全质量管理评价结果按投标人在本省行政区域内项目的园林绿化工程质量综合评价考评得分平均值计分，园林绿化工程质量综合评价结果以省住房和城乡建设厅发文为准，结果未发布前统一计满分。未参与园林绿化工程质量综合评价的投标人，按照得分处于末位的合格投标人分值计取。</w:t>
      </w:r>
    </w:p>
    <w:p>
      <w:pPr>
        <w:spacing w:line="336" w:lineRule="auto"/>
        <w:rPr>
          <w:rFonts w:hint="eastAsia" w:ascii="宋体" w:hAnsi="宋体" w:eastAsia="宋体" w:cs="仿宋_GB2312"/>
          <w:sz w:val="24"/>
        </w:rPr>
      </w:pPr>
      <w:r>
        <w:rPr>
          <w:rFonts w:hint="eastAsia" w:ascii="宋体" w:hAnsi="宋体" w:eastAsia="宋体" w:cs="仿宋_GB2312"/>
          <w:sz w:val="24"/>
        </w:rPr>
        <w:t>5.项目管理机构：</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5.1现场答辩：</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是否要求拟任施工总承包项目经理现场答辩，由招标人在招标文件中明确。有现场答辩的，其计分范围为6-10分。</w:t>
      </w:r>
    </w:p>
    <w:p>
      <w:pPr>
        <w:snapToGrid w:val="0"/>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5.2项目管理机构业绩：</w:t>
      </w:r>
    </w:p>
    <w:p>
      <w:pPr>
        <w:snapToGrid w:val="0"/>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招标人可以根据项目实际情况选取0-1个项目经理类似工程业绩纳入评审。</w:t>
      </w:r>
    </w:p>
    <w:p>
      <w:pPr>
        <w:snapToGrid w:val="0"/>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5.2.1以中标通知书（招标工程提交）、合同和竣工验收资料为准。项目经理姓名不一致时，依次按照竣工验收资料、合同和中标通知书的顺序认定。竣工验收资料、合同和中标通知书等任一考核依据上标明的项目经理超过一个的，仅对排序第一的项目经理计分。相关指标不一致时，依次按照中标通知书、合同、竣工验收资料的顺序认定。并提供“湖南省智慧住建云—湖南省建筑市场监管公共服务平台”或者“全国建筑市场监管公共服务平台”上体现其作为项目经理的项目网页截图。</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5.2.2考核期限：1095天，按工程竣工验收文件中建设单位签字之日起计算。类似工程业绩考核依据中竣工验收备案表未体现建设单位签字之日的以竣工验收备案表“竣工验收日期”栏中注明的时间为准。</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5.3奖项：</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奖项类型、加分规则、考核依据和期限等与投标企业奖项一致。</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奖项中未标明项目经理姓名的，以竣工验收资料中标明的项目经理为准；竣工验收资料中标明的项目经理超过一个的，仅对排序第一的项目经理计分；竣工验收资料中未标明项目经理姓名，以及无法分辨工程类型的，不予计分。</w:t>
      </w:r>
    </w:p>
    <w:p>
      <w:pPr>
        <w:spacing w:line="336" w:lineRule="auto"/>
        <w:ind w:firstLine="480" w:firstLineChars="200"/>
        <w:rPr>
          <w:rFonts w:ascii="宋体" w:hAnsi="宋体" w:eastAsia="宋体" w:cs="仿宋_GB2312"/>
          <w:sz w:val="24"/>
        </w:rPr>
      </w:pPr>
      <w:r>
        <w:rPr>
          <w:rFonts w:hint="eastAsia" w:ascii="宋体" w:hAnsi="宋体" w:eastAsia="宋体" w:cs="仿宋_GB2312"/>
          <w:sz w:val="24"/>
        </w:rPr>
        <w:t>5.4投标截止时间以前1095天内，拟任项目经理在其他项目担任项目经理期间发生过变更撤换且在该项目完成合同约定工作量或合同约定本职工作之前，参与本项目投标的，不对该项目经理的类似工程业绩和奖项等计分；存在上述情形的，投标人应当在投标文件中如实说明，未如实说明的，招标人取消其中标候选人资格，并提请住房和城乡建设主管部门按规定予以信用评价扣分。（适用于：项目经理业绩、奖项加分的项目，且投标人在投标文件中已按招标文件规定提供符合加分的项目经理业绩或奖项证明材料的）</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5.5 不良行为记录：</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5.5.1拟任项目经理不良行为记录扣分有效期为180天，自湖南省住房和城乡建设厅公布之日起至投交投标文件截止之日止。列入省公管办或省住建厅发布的黑名单扣分有效期为365天，自湖南省公管办或湖南省住房和城乡建设厅公布之日起至提交投标文件截止之日止。</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5.5.2不良行为记录包括工程质量、安全生产、市场行为等方面的情况。省住房和城乡建设厅发布的《湖南省建筑市场责任主体不良行为记录》是确认本省行政区域内不良行为记录的依据。</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5.5.3与我省签署了招标投标信息共享备忘录的省区市发布的相关不良行为记录按照备忘录要求执行。</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5.6</w:t>
      </w:r>
      <w:r>
        <w:rPr>
          <w:rFonts w:hint="eastAsia" w:ascii="仿宋_GB2312"/>
          <w:sz w:val="28"/>
          <w:szCs w:val="28"/>
        </w:rPr>
        <w:t xml:space="preserve"> </w:t>
      </w:r>
      <w:r>
        <w:rPr>
          <w:rFonts w:hint="eastAsia" w:ascii="宋体" w:hAnsi="宋体" w:eastAsia="宋体" w:cs="仿宋_GB2312"/>
          <w:sz w:val="24"/>
        </w:rPr>
        <w:t>拟任项目经理在建情况以投标截止时在“湖南省建筑工程监管信息平台”查询信息为准，有在其他项目任关键岗位人员情形的，评标委员会应当否决其投标。</w:t>
      </w:r>
    </w:p>
    <w:p>
      <w:pPr>
        <w:spacing w:line="336" w:lineRule="auto"/>
        <w:ind w:firstLine="480" w:firstLineChars="200"/>
        <w:rPr>
          <w:rFonts w:hint="eastAsia" w:ascii="宋体" w:hAnsi="宋体" w:eastAsia="宋体" w:cs="仿宋_GB2312"/>
          <w:sz w:val="24"/>
        </w:rPr>
      </w:pPr>
      <w:r>
        <w:rPr>
          <w:rFonts w:hint="eastAsia" w:ascii="宋体" w:hAnsi="宋体" w:eastAsia="宋体" w:cs="仿宋_GB2312"/>
          <w:sz w:val="24"/>
        </w:rPr>
        <w:t>投标截止时，拟任项目经理在“湖南省建筑工程监管信息平台”之外有在其他项目任关键岗位人员情形的，应当在投标文件中如实注明，并承诺中标后能够从该项目按期撤离。评标期间，投标文件中注明有在建，但没有承诺能够按期撤离的，评标委员会应当否决其投标；中标候选公示期间，发现未如实注明有平台之外的在建情况的，招标人提请住房和城乡建设主管部门按规定予以信用评价扣分。</w:t>
      </w:r>
    </w:p>
    <w:p>
      <w:pPr>
        <w:spacing w:line="336" w:lineRule="auto"/>
        <w:ind w:firstLine="480" w:firstLineChars="200"/>
        <w:rPr>
          <w:rFonts w:hint="eastAsia" w:ascii="仿宋_GB2312"/>
        </w:rPr>
      </w:pPr>
      <w:r>
        <w:rPr>
          <w:rFonts w:hint="eastAsia" w:ascii="宋体" w:hAnsi="宋体" w:eastAsia="宋体" w:cs="仿宋_GB2312"/>
          <w:sz w:val="24"/>
        </w:rPr>
        <w:t>中标候选人公示期满，拟任项目经理不能按时到岗履职的（含不能从其他项目按期撤离的），招标人取消其中标候选人资格，并提请住房和城乡建设主管部门按规定予以信用评价扣分。</w:t>
      </w:r>
      <w:r>
        <w:rPr>
          <w:rFonts w:hint="eastAsia" w:ascii="仿宋_GB2312"/>
        </w:rPr>
        <w:t xml:space="preserve"> </w:t>
      </w:r>
    </w:p>
    <w:p>
      <w:pPr>
        <w:rPr>
          <w:rFonts w:hint="eastAsia" w:ascii="仿宋_GB2312"/>
        </w:rPr>
      </w:pPr>
      <w:r>
        <w:rPr>
          <w:rFonts w:hint="eastAsia" w:ascii="仿宋_GB231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1776A1"/>
    <w:rsid w:val="1117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2021-10-27T01:46:00Z</dcterms:created>
  <dc:creator>黑书包</dc:creator>
  <cp:lastModifiedBy>黑书包</cp:lastModifiedBy>
  <dcterms:modified xsi:type="dcterms:W3CDTF">2021-10-27T01:47:20Z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