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黑体" w:hAnsi="Calibri" w:eastAsia="黑体" w:cs="宋体"/>
          <w:kern w:val="0"/>
        </w:rPr>
      </w:pPr>
      <w:r>
        <w:rPr>
          <w:rFonts w:hint="eastAsia" w:ascii="黑体" w:eastAsia="黑体"/>
          <w:kern w:val="0"/>
        </w:rPr>
        <w:t>附件2</w:t>
      </w:r>
    </w:p>
    <w:p>
      <w:pPr>
        <w:widowControl/>
        <w:shd w:val="clear" w:color="auto" w:fill="FFFFFF"/>
        <w:jc w:val="center"/>
        <w:rPr>
          <w:rFonts w:hint="eastAsia" w:ascii="方正小标宋简体" w:eastAsia="方正小标宋简体"/>
          <w:kern w:val="0"/>
          <w:sz w:val="44"/>
          <w:szCs w:val="44"/>
        </w:rPr>
      </w:pPr>
      <w:r>
        <w:rPr>
          <w:rFonts w:hint="eastAsia" w:ascii="方正小标宋简体" w:hAnsi="仿宋_GB2312" w:eastAsia="方正小标宋简体"/>
          <w:kern w:val="0"/>
          <w:sz w:val="44"/>
          <w:szCs w:val="44"/>
        </w:rPr>
        <w:t>综合评估法</w:t>
      </w:r>
    </w:p>
    <w:p>
      <w:pPr>
        <w:widowControl/>
        <w:shd w:val="clear" w:color="auto" w:fill="FFFFFF"/>
        <w:ind w:firstLine="640" w:firstLineChars="200"/>
        <w:rPr>
          <w:rFonts w:hint="eastAsia" w:ascii="黑体" w:hAnsi="Calibri" w:eastAsia="黑体"/>
          <w:kern w:val="0"/>
          <w:szCs w:val="32"/>
        </w:rPr>
      </w:pPr>
      <w:r>
        <w:rPr>
          <w:rFonts w:hint="eastAsia" w:ascii="黑体" w:eastAsia="黑体"/>
          <w:kern w:val="0"/>
        </w:rPr>
        <w:t>一、适用范围</w:t>
      </w:r>
    </w:p>
    <w:p>
      <w:pPr>
        <w:widowControl/>
        <w:shd w:val="clear" w:color="auto" w:fill="FFFFFF"/>
        <w:ind w:firstLine="640" w:firstLineChars="200"/>
        <w:rPr>
          <w:rFonts w:hint="eastAsia"/>
          <w:kern w:val="0"/>
        </w:rPr>
      </w:pPr>
      <w:r>
        <w:rPr>
          <w:rFonts w:ascii="仿宋_GB2312" w:hAnsi="仿宋_GB2312"/>
          <w:kern w:val="0"/>
        </w:rPr>
        <w:t>（一）符合下列情形之一的，可以采用综合评估法：</w:t>
      </w:r>
    </w:p>
    <w:p>
      <w:pPr>
        <w:widowControl/>
        <w:shd w:val="clear" w:color="auto" w:fill="FFFFFF"/>
        <w:ind w:firstLine="640" w:firstLineChars="200"/>
        <w:rPr>
          <w:kern w:val="0"/>
        </w:rPr>
      </w:pPr>
      <w:r>
        <w:rPr>
          <w:kern w:val="0"/>
        </w:rPr>
        <w:t xml:space="preserve">1. </w:t>
      </w:r>
      <w:r>
        <w:rPr>
          <w:rFonts w:ascii="仿宋_GB2312" w:hAnsi="仿宋_GB2312"/>
          <w:kern w:val="0"/>
        </w:rPr>
        <w:t>施工总承包</w:t>
      </w:r>
      <w:r>
        <w:rPr>
          <w:rFonts w:hint="eastAsia" w:ascii="仿宋_GB2312"/>
          <w:kern w:val="0"/>
        </w:rPr>
        <w:t>工程</w:t>
      </w:r>
      <w:r>
        <w:rPr>
          <w:rFonts w:ascii="仿宋_GB2312" w:hAnsi="仿宋_GB2312"/>
          <w:kern w:val="0"/>
        </w:rPr>
        <w:t>单项最高投标限价</w:t>
      </w:r>
      <w:r>
        <w:rPr>
          <w:rFonts w:hint="eastAsia" w:ascii="仿宋_GB2312"/>
          <w:kern w:val="0"/>
        </w:rPr>
        <w:t>超过</w:t>
      </w:r>
      <w:r>
        <w:rPr>
          <w:kern w:val="0"/>
        </w:rPr>
        <w:t>2000</w:t>
      </w:r>
      <w:r>
        <w:rPr>
          <w:rFonts w:ascii="仿宋_GB2312" w:hAnsi="仿宋_GB2312"/>
          <w:kern w:val="0"/>
        </w:rPr>
        <w:t>万元至</w:t>
      </w:r>
      <w:r>
        <w:rPr>
          <w:kern w:val="0"/>
        </w:rPr>
        <w:t>5000</w:t>
      </w:r>
      <w:r>
        <w:rPr>
          <w:rFonts w:ascii="仿宋_GB2312" w:hAnsi="仿宋_GB2312"/>
          <w:kern w:val="0"/>
        </w:rPr>
        <w:t>万元以下的；</w:t>
      </w:r>
    </w:p>
    <w:p>
      <w:pPr>
        <w:widowControl/>
        <w:shd w:val="clear" w:color="auto" w:fill="FFFFFF"/>
        <w:ind w:firstLine="640" w:firstLineChars="200"/>
        <w:rPr>
          <w:kern w:val="0"/>
        </w:rPr>
      </w:pPr>
      <w:r>
        <w:rPr>
          <w:kern w:val="0"/>
        </w:rPr>
        <w:t xml:space="preserve">2. </w:t>
      </w:r>
      <w:r>
        <w:rPr>
          <w:rFonts w:ascii="仿宋_GB2312" w:hAnsi="仿宋_GB2312"/>
          <w:kern w:val="0"/>
        </w:rPr>
        <w:t>专业承包</w:t>
      </w:r>
      <w:r>
        <w:rPr>
          <w:rFonts w:hint="eastAsia" w:ascii="仿宋_GB2312"/>
          <w:kern w:val="0"/>
        </w:rPr>
        <w:t>工程</w:t>
      </w:r>
      <w:r>
        <w:rPr>
          <w:rFonts w:ascii="仿宋_GB2312" w:hAnsi="仿宋_GB2312"/>
          <w:kern w:val="0"/>
        </w:rPr>
        <w:t>单项最高投标限价</w:t>
      </w:r>
      <w:r>
        <w:rPr>
          <w:rFonts w:hint="eastAsia" w:ascii="仿宋_GB2312"/>
          <w:kern w:val="0"/>
        </w:rPr>
        <w:t>超过</w:t>
      </w:r>
      <w:r>
        <w:rPr>
          <w:kern w:val="0"/>
        </w:rPr>
        <w:t>800</w:t>
      </w:r>
      <w:r>
        <w:rPr>
          <w:rFonts w:ascii="仿宋_GB2312" w:hAnsi="仿宋_GB2312"/>
          <w:kern w:val="0"/>
        </w:rPr>
        <w:t>万元至</w:t>
      </w:r>
      <w:r>
        <w:rPr>
          <w:kern w:val="0"/>
        </w:rPr>
        <w:t>1500</w:t>
      </w:r>
      <w:r>
        <w:rPr>
          <w:rFonts w:ascii="仿宋_GB2312" w:hAnsi="仿宋_GB2312"/>
          <w:kern w:val="0"/>
        </w:rPr>
        <w:t>万元以下的。</w:t>
      </w:r>
    </w:p>
    <w:p>
      <w:pPr>
        <w:widowControl/>
        <w:shd w:val="clear" w:color="auto" w:fill="FFFFFF"/>
        <w:ind w:firstLine="640" w:firstLineChars="200"/>
        <w:rPr>
          <w:kern w:val="0"/>
        </w:rPr>
      </w:pPr>
      <w:r>
        <w:rPr>
          <w:rFonts w:ascii="仿宋_GB2312" w:hAnsi="仿宋_GB2312"/>
          <w:kern w:val="0"/>
        </w:rPr>
        <w:t>（二）符合下列情形之一的，应当采用综合评估法：</w:t>
      </w:r>
    </w:p>
    <w:p>
      <w:pPr>
        <w:widowControl/>
        <w:shd w:val="clear" w:color="auto" w:fill="FFFFFF"/>
        <w:ind w:firstLine="640" w:firstLineChars="200"/>
        <w:rPr>
          <w:kern w:val="0"/>
        </w:rPr>
      </w:pPr>
      <w:r>
        <w:rPr>
          <w:kern w:val="0"/>
        </w:rPr>
        <w:t>1</w:t>
      </w:r>
      <w:r>
        <w:rPr>
          <w:rFonts w:ascii="仿宋_GB2312" w:hAnsi="仿宋_GB2312"/>
          <w:kern w:val="0"/>
        </w:rPr>
        <w:t>．施工总承包</w:t>
      </w:r>
      <w:r>
        <w:rPr>
          <w:rFonts w:hint="eastAsia" w:ascii="仿宋_GB2312"/>
          <w:kern w:val="0"/>
        </w:rPr>
        <w:t>工程</w:t>
      </w:r>
      <w:r>
        <w:rPr>
          <w:rFonts w:ascii="仿宋_GB2312" w:hAnsi="仿宋_GB2312"/>
          <w:kern w:val="0"/>
        </w:rPr>
        <w:t>单项最高投标限价</w:t>
      </w:r>
      <w:r>
        <w:rPr>
          <w:rFonts w:hint="eastAsia" w:ascii="仿宋_GB2312"/>
          <w:kern w:val="0"/>
        </w:rPr>
        <w:t>超过</w:t>
      </w:r>
      <w:r>
        <w:rPr>
          <w:kern w:val="0"/>
        </w:rPr>
        <w:t>5000</w:t>
      </w:r>
      <w:r>
        <w:rPr>
          <w:rFonts w:ascii="仿宋_GB2312" w:hAnsi="仿宋_GB2312"/>
          <w:kern w:val="0"/>
        </w:rPr>
        <w:t>万元的；</w:t>
      </w:r>
    </w:p>
    <w:p>
      <w:pPr>
        <w:widowControl/>
        <w:shd w:val="clear" w:color="auto" w:fill="FFFFFF"/>
        <w:ind w:firstLine="640" w:firstLineChars="200"/>
        <w:rPr>
          <w:kern w:val="0"/>
        </w:rPr>
      </w:pPr>
      <w:r>
        <w:rPr>
          <w:kern w:val="0"/>
        </w:rPr>
        <w:t>2</w:t>
      </w:r>
      <w:r>
        <w:rPr>
          <w:rFonts w:ascii="仿宋_GB2312" w:hAnsi="仿宋_GB2312"/>
          <w:kern w:val="0"/>
        </w:rPr>
        <w:t>．专业承包</w:t>
      </w:r>
      <w:r>
        <w:rPr>
          <w:rFonts w:hint="eastAsia" w:ascii="仿宋_GB2312"/>
          <w:kern w:val="0"/>
        </w:rPr>
        <w:t>工程</w:t>
      </w:r>
      <w:r>
        <w:rPr>
          <w:rFonts w:ascii="仿宋_GB2312" w:hAnsi="仿宋_GB2312"/>
          <w:kern w:val="0"/>
        </w:rPr>
        <w:t>单项最高投标限价</w:t>
      </w:r>
      <w:r>
        <w:rPr>
          <w:rFonts w:hint="eastAsia" w:ascii="仿宋_GB2312"/>
          <w:kern w:val="0"/>
        </w:rPr>
        <w:t>超过</w:t>
      </w:r>
      <w:r>
        <w:rPr>
          <w:kern w:val="0"/>
        </w:rPr>
        <w:t>1500</w:t>
      </w:r>
      <w:r>
        <w:rPr>
          <w:rFonts w:ascii="仿宋_GB2312" w:hAnsi="仿宋_GB2312"/>
          <w:kern w:val="0"/>
        </w:rPr>
        <w:t>万元的。</w:t>
      </w:r>
    </w:p>
    <w:p>
      <w:pPr>
        <w:widowControl/>
        <w:shd w:val="clear" w:color="auto" w:fill="FFFFFF"/>
        <w:ind w:firstLine="640" w:firstLineChars="200"/>
        <w:rPr>
          <w:kern w:val="0"/>
        </w:rPr>
      </w:pPr>
      <w:r>
        <w:rPr>
          <w:rFonts w:ascii="仿宋_GB2312" w:hAnsi="仿宋_GB2312"/>
          <w:kern w:val="0"/>
        </w:rPr>
        <w:t>（三）经批准的其他项目。</w:t>
      </w:r>
    </w:p>
    <w:p>
      <w:pPr>
        <w:widowControl/>
        <w:shd w:val="clear" w:color="auto" w:fill="FFFFFF"/>
        <w:ind w:firstLine="640" w:firstLineChars="200"/>
        <w:rPr>
          <w:rFonts w:ascii="黑体" w:hAnsi="Calibri" w:eastAsia="黑体" w:cs="宋体"/>
          <w:kern w:val="0"/>
        </w:rPr>
      </w:pPr>
      <w:r>
        <w:rPr>
          <w:rFonts w:hint="eastAsia" w:ascii="黑体" w:eastAsia="黑体"/>
          <w:kern w:val="0"/>
        </w:rPr>
        <w:t>二、评审程序与方法</w:t>
      </w:r>
    </w:p>
    <w:p>
      <w:pPr>
        <w:widowControl/>
        <w:shd w:val="clear" w:color="auto" w:fill="FFFFFF"/>
        <w:ind w:firstLine="643" w:firstLineChars="200"/>
        <w:rPr>
          <w:rFonts w:hint="eastAsia" w:ascii="楷体_GB2312" w:eastAsia="楷体_GB2312"/>
          <w:b/>
          <w:bCs/>
          <w:kern w:val="0"/>
        </w:rPr>
      </w:pPr>
      <w:r>
        <w:rPr>
          <w:rFonts w:hint="eastAsia" w:ascii="楷体_GB2312" w:hAnsi="仿宋_GB2312" w:eastAsia="楷体_GB2312"/>
          <w:b/>
          <w:bCs/>
          <w:kern w:val="0"/>
        </w:rPr>
        <w:t>（一）初步评审</w:t>
      </w:r>
    </w:p>
    <w:p>
      <w:pPr>
        <w:widowControl/>
        <w:shd w:val="clear" w:color="auto" w:fill="FFFFFF"/>
        <w:ind w:firstLine="640" w:firstLineChars="200"/>
        <w:rPr>
          <w:rFonts w:hint="eastAsia"/>
          <w:kern w:val="0"/>
        </w:rPr>
      </w:pPr>
      <w:r>
        <w:rPr>
          <w:rFonts w:ascii="仿宋_GB2312" w:hAnsi="仿宋_GB2312"/>
          <w:kern w:val="0"/>
        </w:rPr>
        <w:t>按照本办法</w:t>
      </w:r>
      <w:r>
        <w:rPr>
          <w:rFonts w:ascii="仿宋_GB2312" w:hAnsi="仿宋_GB2312"/>
        </w:rPr>
        <w:t>第十三条至第十六条</w:t>
      </w:r>
      <w:r>
        <w:rPr>
          <w:rFonts w:ascii="仿宋_GB2312" w:hAnsi="仿宋_GB2312"/>
          <w:kern w:val="0"/>
        </w:rPr>
        <w:t>，以及招标文件规定，对投标文件的形式、投标人资格和实质性响应招标文件情况进行评审，对不符合相关规定和要求的投标文件予以否决。</w:t>
      </w:r>
    </w:p>
    <w:p>
      <w:pPr>
        <w:widowControl/>
        <w:shd w:val="clear" w:color="auto" w:fill="FFFFFF"/>
        <w:ind w:firstLine="640" w:firstLineChars="200"/>
        <w:rPr>
          <w:kern w:val="0"/>
        </w:rPr>
      </w:pPr>
      <w:r>
        <w:rPr>
          <w:rFonts w:ascii="仿宋_GB2312" w:hAnsi="仿宋_GB2312"/>
          <w:kern w:val="0"/>
        </w:rPr>
        <w:t>采取资格预审的，按照本办法第五条至第八条以及相关评审表格和招标文件之规定进行评审。</w:t>
      </w:r>
    </w:p>
    <w:p>
      <w:pPr>
        <w:widowControl/>
        <w:shd w:val="clear" w:color="auto" w:fill="FFFFFF"/>
        <w:ind w:firstLine="643" w:firstLineChars="200"/>
        <w:rPr>
          <w:rFonts w:ascii="楷体_GB2312" w:hAnsi="仿宋_GB2312" w:eastAsia="楷体_GB2312" w:cs="宋体"/>
          <w:b/>
          <w:bCs/>
          <w:kern w:val="0"/>
        </w:rPr>
      </w:pPr>
      <w:r>
        <w:rPr>
          <w:rFonts w:hint="eastAsia" w:ascii="楷体_GB2312" w:hAnsi="仿宋_GB2312" w:eastAsia="楷体_GB2312"/>
          <w:b/>
          <w:bCs/>
          <w:kern w:val="0"/>
        </w:rPr>
        <w:t>（二）详细评审</w:t>
      </w:r>
    </w:p>
    <w:p>
      <w:pPr>
        <w:ind w:firstLine="640" w:firstLineChars="200"/>
        <w:rPr>
          <w:rFonts w:hint="eastAsia"/>
          <w:strike/>
        </w:rPr>
      </w:pPr>
      <w:r>
        <w:rPr>
          <w:rFonts w:ascii="仿宋_GB2312" w:hAnsi="仿宋_GB2312"/>
        </w:rPr>
        <w:t>按照本办法第十七条确定进入详细评审的投标人。</w:t>
      </w:r>
    </w:p>
    <w:p>
      <w:pPr>
        <w:widowControl/>
        <w:shd w:val="clear" w:color="auto" w:fill="FFFFFF"/>
        <w:ind w:firstLine="640" w:firstLineChars="200"/>
        <w:rPr>
          <w:kern w:val="0"/>
        </w:rPr>
      </w:pPr>
      <w:r>
        <w:rPr>
          <w:kern w:val="0"/>
        </w:rPr>
        <w:t>1</w:t>
      </w:r>
      <w:r>
        <w:rPr>
          <w:rFonts w:ascii="仿宋_GB2312" w:hAnsi="仿宋_GB2312"/>
          <w:kern w:val="0"/>
        </w:rPr>
        <w:t>．施工组织设计评审。</w:t>
      </w:r>
    </w:p>
    <w:p>
      <w:pPr>
        <w:widowControl/>
        <w:shd w:val="clear" w:color="auto" w:fill="FFFFFF"/>
        <w:ind w:firstLine="640" w:firstLineChars="200"/>
      </w:pPr>
      <w:r>
        <w:rPr>
          <w:kern w:val="0"/>
        </w:rPr>
        <w:t>1.1</w:t>
      </w:r>
      <w:r>
        <w:rPr>
          <w:rFonts w:ascii="仿宋_GB2312" w:hAnsi="仿宋_GB2312"/>
          <w:kern w:val="0"/>
        </w:rPr>
        <w:t>施工总承包单项最高投标限价在</w:t>
      </w:r>
      <w:r>
        <w:rPr>
          <w:kern w:val="0"/>
        </w:rPr>
        <w:t>5000</w:t>
      </w:r>
      <w:r>
        <w:rPr>
          <w:rFonts w:ascii="仿宋_GB2312" w:hAnsi="仿宋_GB2312"/>
          <w:kern w:val="0"/>
        </w:rPr>
        <w:t>万元以下的、专业承包单项最高投标限价在</w:t>
      </w:r>
      <w:r>
        <w:rPr>
          <w:kern w:val="0"/>
        </w:rPr>
        <w:t>1500</w:t>
      </w:r>
      <w:r>
        <w:rPr>
          <w:rFonts w:ascii="仿宋_GB2312" w:hAnsi="仿宋_GB2312"/>
          <w:kern w:val="0"/>
        </w:rPr>
        <w:t>万元以下的，</w:t>
      </w:r>
      <w:r>
        <w:rPr>
          <w:rFonts w:ascii="仿宋_GB2312" w:hAnsi="仿宋_GB2312"/>
        </w:rPr>
        <w:t>施工组织设计原则上采用合格性评审；</w:t>
      </w:r>
    </w:p>
    <w:p>
      <w:pPr>
        <w:widowControl/>
        <w:shd w:val="clear" w:color="auto" w:fill="FFFFFF"/>
        <w:ind w:firstLine="640" w:firstLineChars="200"/>
      </w:pPr>
      <w:r>
        <w:t>1.2</w:t>
      </w:r>
      <w:r>
        <w:rPr>
          <w:rFonts w:ascii="仿宋_GB2312" w:hAnsi="仿宋_GB2312"/>
          <w:kern w:val="0"/>
        </w:rPr>
        <w:t>施工总承包单项最高投标限价</w:t>
      </w:r>
      <w:r>
        <w:rPr>
          <w:rFonts w:hint="eastAsia" w:ascii="仿宋_GB2312"/>
          <w:kern w:val="0"/>
        </w:rPr>
        <w:t>超过</w:t>
      </w:r>
      <w:r>
        <w:rPr>
          <w:kern w:val="0"/>
        </w:rPr>
        <w:t>5000</w:t>
      </w:r>
      <w:r>
        <w:rPr>
          <w:rFonts w:ascii="仿宋_GB2312" w:hAnsi="仿宋_GB2312"/>
          <w:kern w:val="0"/>
        </w:rPr>
        <w:t>万元至</w:t>
      </w:r>
      <w:r>
        <w:rPr>
          <w:kern w:val="0"/>
        </w:rPr>
        <w:t>20000</w:t>
      </w:r>
      <w:r>
        <w:rPr>
          <w:rFonts w:ascii="仿宋_GB2312" w:hAnsi="仿宋_GB2312"/>
          <w:kern w:val="0"/>
        </w:rPr>
        <w:t>万</w:t>
      </w:r>
      <w:r>
        <w:rPr>
          <w:rFonts w:hint="eastAsia" w:ascii="仿宋_GB2312"/>
          <w:kern w:val="0"/>
        </w:rPr>
        <w:t>元</w:t>
      </w:r>
      <w:r>
        <w:rPr>
          <w:rFonts w:ascii="仿宋_GB2312" w:hAnsi="仿宋_GB2312"/>
          <w:kern w:val="0"/>
        </w:rPr>
        <w:t>以下的、专业承包单项最高投标限价</w:t>
      </w:r>
      <w:r>
        <w:rPr>
          <w:rFonts w:hint="eastAsia" w:ascii="仿宋_GB2312"/>
          <w:kern w:val="0"/>
        </w:rPr>
        <w:t>超过</w:t>
      </w:r>
      <w:r>
        <w:rPr>
          <w:kern w:val="0"/>
        </w:rPr>
        <w:t>1500</w:t>
      </w:r>
      <w:r>
        <w:rPr>
          <w:rFonts w:ascii="仿宋_GB2312" w:hAnsi="仿宋_GB2312"/>
          <w:kern w:val="0"/>
        </w:rPr>
        <w:t>万元至</w:t>
      </w:r>
      <w:r>
        <w:rPr>
          <w:kern w:val="0"/>
        </w:rPr>
        <w:t>3000</w:t>
      </w:r>
      <w:r>
        <w:rPr>
          <w:rFonts w:ascii="仿宋_GB2312" w:hAnsi="仿宋_GB2312"/>
          <w:kern w:val="0"/>
        </w:rPr>
        <w:t>万</w:t>
      </w:r>
      <w:r>
        <w:rPr>
          <w:rFonts w:hint="eastAsia" w:ascii="仿宋_GB2312"/>
          <w:kern w:val="0"/>
        </w:rPr>
        <w:t>元</w:t>
      </w:r>
      <w:r>
        <w:rPr>
          <w:rFonts w:ascii="仿宋_GB2312" w:hAnsi="仿宋_GB2312"/>
          <w:kern w:val="0"/>
        </w:rPr>
        <w:t>以下的，</w:t>
      </w:r>
      <w:r>
        <w:rPr>
          <w:rFonts w:ascii="仿宋_GB2312" w:hAnsi="仿宋_GB2312"/>
        </w:rPr>
        <w:t>施工组织设计可以采用合格性评审，也可以采用评审计分的方式；</w:t>
      </w:r>
    </w:p>
    <w:p>
      <w:pPr>
        <w:widowControl/>
        <w:shd w:val="clear" w:color="auto" w:fill="FFFFFF"/>
        <w:ind w:firstLine="640" w:firstLineChars="200"/>
      </w:pPr>
      <w:r>
        <w:t>1.3</w:t>
      </w:r>
      <w:r>
        <w:rPr>
          <w:rFonts w:ascii="仿宋_GB2312" w:hAnsi="仿宋_GB2312"/>
          <w:kern w:val="0"/>
        </w:rPr>
        <w:t>施工总承包单项最高投标限价</w:t>
      </w:r>
      <w:r>
        <w:rPr>
          <w:rFonts w:hint="eastAsia" w:ascii="仿宋_GB2312"/>
          <w:kern w:val="0"/>
        </w:rPr>
        <w:t>超过</w:t>
      </w:r>
      <w:r>
        <w:rPr>
          <w:kern w:val="0"/>
        </w:rPr>
        <w:t>20000</w:t>
      </w:r>
      <w:r>
        <w:rPr>
          <w:rFonts w:ascii="仿宋_GB2312" w:hAnsi="仿宋_GB2312"/>
          <w:kern w:val="0"/>
        </w:rPr>
        <w:t>万</w:t>
      </w:r>
      <w:r>
        <w:rPr>
          <w:rFonts w:hint="eastAsia" w:ascii="仿宋_GB2312"/>
          <w:kern w:val="0"/>
        </w:rPr>
        <w:t>元</w:t>
      </w:r>
      <w:r>
        <w:rPr>
          <w:rFonts w:ascii="仿宋_GB2312" w:hAnsi="仿宋_GB2312"/>
          <w:kern w:val="0"/>
        </w:rPr>
        <w:t>、专业承包单项最高投标限价</w:t>
      </w:r>
      <w:r>
        <w:rPr>
          <w:rFonts w:hint="eastAsia" w:ascii="仿宋_GB2312"/>
          <w:kern w:val="0"/>
        </w:rPr>
        <w:t>超过</w:t>
      </w:r>
      <w:r>
        <w:rPr>
          <w:kern w:val="0"/>
        </w:rPr>
        <w:t>3000</w:t>
      </w:r>
      <w:r>
        <w:rPr>
          <w:rFonts w:ascii="仿宋_GB2312" w:hAnsi="仿宋_GB2312"/>
          <w:kern w:val="0"/>
        </w:rPr>
        <w:t>万</w:t>
      </w:r>
      <w:r>
        <w:rPr>
          <w:rFonts w:hint="eastAsia" w:ascii="仿宋_GB2312"/>
          <w:kern w:val="0"/>
        </w:rPr>
        <w:t>元</w:t>
      </w:r>
      <w:r>
        <w:rPr>
          <w:rFonts w:ascii="仿宋_GB2312" w:hAnsi="仿宋_GB2312"/>
          <w:kern w:val="0"/>
        </w:rPr>
        <w:t>的，</w:t>
      </w:r>
      <w:r>
        <w:rPr>
          <w:rFonts w:ascii="仿宋_GB2312" w:hAnsi="仿宋_GB2312"/>
        </w:rPr>
        <w:t>施工组织设计应当采用评审计分的方式。</w:t>
      </w:r>
    </w:p>
    <w:p>
      <w:pPr>
        <w:widowControl/>
        <w:shd w:val="clear" w:color="auto" w:fill="FFFFFF"/>
        <w:ind w:firstLine="640" w:firstLineChars="200"/>
        <w:rPr>
          <w:rFonts w:hAnsi="Calibri" w:cs="宋体"/>
        </w:rPr>
      </w:pPr>
      <w:r>
        <w:rPr>
          <w:kern w:val="0"/>
        </w:rPr>
        <w:t>1.4</w:t>
      </w:r>
      <w:r>
        <w:rPr>
          <w:rFonts w:ascii="仿宋_GB2312" w:hAnsi="仿宋_GB2312"/>
          <w:kern w:val="0"/>
        </w:rPr>
        <w:t>施工组织设计评审</w:t>
      </w:r>
      <w:r>
        <w:rPr>
          <w:rFonts w:ascii="仿宋_GB2312" w:hAnsi="仿宋_GB2312"/>
        </w:rPr>
        <w:t>由评标委员会按照本办法第十九条</w:t>
      </w:r>
      <w:r>
        <w:rPr>
          <w:rFonts w:hint="eastAsia" w:ascii="仿宋_GB2312"/>
        </w:rPr>
        <w:t>、附件</w:t>
      </w:r>
      <w:r>
        <w:rPr>
          <w:rFonts w:hint="eastAsia"/>
        </w:rPr>
        <w:t>3</w:t>
      </w:r>
      <w:r>
        <w:rPr>
          <w:rFonts w:hAnsi="仿宋_GB2312"/>
        </w:rPr>
        <w:t>-2</w:t>
      </w:r>
      <w:r>
        <w:rPr>
          <w:rFonts w:hint="eastAsia" w:ascii="仿宋_GB2312"/>
        </w:rPr>
        <w:t>及附注进行评审。</w:t>
      </w:r>
    </w:p>
    <w:p>
      <w:pPr>
        <w:widowControl/>
        <w:shd w:val="clear" w:color="auto" w:fill="FFFFFF"/>
        <w:ind w:firstLine="640" w:firstLineChars="200"/>
        <w:rPr>
          <w:rFonts w:hint="eastAsia"/>
          <w:kern w:val="0"/>
        </w:rPr>
      </w:pPr>
      <w:r>
        <w:rPr>
          <w:kern w:val="0"/>
        </w:rPr>
        <w:t>2</w:t>
      </w:r>
      <w:r>
        <w:rPr>
          <w:rFonts w:ascii="仿宋_GB2312" w:hAnsi="仿宋_GB2312"/>
          <w:kern w:val="0"/>
        </w:rPr>
        <w:t>．企业资信及履约能力评审。按照本办法第二十条至第二十二条以及相关评审表格和招标文件之规定进行评审。</w:t>
      </w:r>
    </w:p>
    <w:p>
      <w:pPr>
        <w:widowControl/>
        <w:shd w:val="clear" w:color="auto" w:fill="FFFFFF"/>
        <w:ind w:firstLine="640" w:firstLineChars="200"/>
        <w:rPr>
          <w:b/>
          <w:bCs/>
          <w:kern w:val="0"/>
        </w:rPr>
      </w:pPr>
      <w:r>
        <w:rPr>
          <w:kern w:val="0"/>
        </w:rPr>
        <w:t>3</w:t>
      </w:r>
      <w:r>
        <w:rPr>
          <w:rFonts w:ascii="仿宋_GB2312" w:hAnsi="仿宋_GB2312"/>
          <w:kern w:val="0"/>
        </w:rPr>
        <w:t>．</w:t>
      </w:r>
      <w:r>
        <w:rPr>
          <w:rFonts w:hint="eastAsia" w:ascii="仿宋_GB2312" w:hAnsi="仿宋_GB2312"/>
          <w:kern w:val="0"/>
        </w:rPr>
        <w:t>投标</w:t>
      </w:r>
      <w:r>
        <w:rPr>
          <w:rFonts w:ascii="仿宋_GB2312" w:hAnsi="仿宋_GB2312"/>
          <w:kern w:val="0"/>
        </w:rPr>
        <w:t>报价评审。</w:t>
      </w:r>
    </w:p>
    <w:p>
      <w:pPr>
        <w:widowControl/>
        <w:shd w:val="clear" w:color="auto" w:fill="FFFFFF"/>
        <w:ind w:firstLine="640" w:firstLineChars="200"/>
        <w:rPr>
          <w:kern w:val="0"/>
        </w:rPr>
      </w:pPr>
      <w:r>
        <w:rPr>
          <w:kern w:val="0"/>
        </w:rPr>
        <w:t>4</w:t>
      </w:r>
      <w:r>
        <w:rPr>
          <w:rFonts w:ascii="仿宋_GB2312" w:hAnsi="仿宋_GB2312"/>
          <w:kern w:val="0"/>
        </w:rPr>
        <w:t>．汇总评分结果。</w:t>
      </w:r>
    </w:p>
    <w:p>
      <w:pPr>
        <w:widowControl/>
        <w:shd w:val="clear" w:color="auto" w:fill="FFFFFF"/>
        <w:ind w:firstLine="640" w:firstLineChars="200"/>
        <w:rPr>
          <w:kern w:val="0"/>
        </w:rPr>
      </w:pPr>
      <w:r>
        <w:rPr>
          <w:kern w:val="0"/>
        </w:rPr>
        <w:t>C=J</w:t>
      </w:r>
      <w:r>
        <w:rPr>
          <w:kern w:val="0"/>
          <w:vertAlign w:val="subscript"/>
        </w:rPr>
        <w:t>1</w:t>
      </w:r>
      <w:r>
        <w:rPr>
          <w:kern w:val="0"/>
        </w:rPr>
        <w:t>×D+J</w:t>
      </w:r>
      <w:r>
        <w:rPr>
          <w:kern w:val="0"/>
          <w:vertAlign w:val="subscript"/>
        </w:rPr>
        <w:t>2</w:t>
      </w:r>
      <w:r>
        <w:rPr>
          <w:kern w:val="0"/>
        </w:rPr>
        <w:t>×E+J</w:t>
      </w:r>
      <w:r>
        <w:rPr>
          <w:kern w:val="0"/>
          <w:vertAlign w:val="subscript"/>
        </w:rPr>
        <w:t>3</w:t>
      </w:r>
      <w:r>
        <w:rPr>
          <w:kern w:val="0"/>
        </w:rPr>
        <w:t>×F</w:t>
      </w:r>
    </w:p>
    <w:p>
      <w:pPr>
        <w:widowControl/>
        <w:shd w:val="clear" w:color="auto" w:fill="FFFFFF"/>
        <w:ind w:firstLine="640" w:firstLineChars="200"/>
        <w:rPr>
          <w:kern w:val="0"/>
        </w:rPr>
      </w:pPr>
      <w:r>
        <w:rPr>
          <w:rFonts w:ascii="仿宋_GB2312" w:hAnsi="仿宋_GB2312"/>
          <w:kern w:val="0"/>
        </w:rPr>
        <w:t>其中：</w:t>
      </w:r>
      <w:r>
        <w:rPr>
          <w:kern w:val="0"/>
        </w:rPr>
        <w:t>C——</w:t>
      </w:r>
      <w:r>
        <w:rPr>
          <w:rFonts w:ascii="仿宋_GB2312" w:hAnsi="仿宋_GB2312"/>
          <w:kern w:val="0"/>
        </w:rPr>
        <w:t>评标总得分</w:t>
      </w:r>
    </w:p>
    <w:p>
      <w:pPr>
        <w:widowControl/>
        <w:shd w:val="clear" w:color="auto" w:fill="FFFFFF"/>
        <w:ind w:firstLine="640" w:firstLineChars="200"/>
        <w:rPr>
          <w:kern w:val="0"/>
        </w:rPr>
      </w:pPr>
      <w:r>
        <w:rPr>
          <w:kern w:val="0"/>
        </w:rPr>
        <w:t>D——</w:t>
      </w:r>
      <w:r>
        <w:rPr>
          <w:rFonts w:ascii="仿宋_GB2312" w:hAnsi="仿宋_GB2312"/>
          <w:kern w:val="0"/>
        </w:rPr>
        <w:t>施工组织设计评审得分</w:t>
      </w:r>
    </w:p>
    <w:p>
      <w:pPr>
        <w:widowControl/>
        <w:shd w:val="clear" w:color="auto" w:fill="FFFFFF"/>
        <w:ind w:firstLine="640" w:firstLineChars="200"/>
        <w:rPr>
          <w:kern w:val="0"/>
        </w:rPr>
      </w:pPr>
      <w:r>
        <w:rPr>
          <w:kern w:val="0"/>
        </w:rPr>
        <w:t>E——</w:t>
      </w:r>
      <w:r>
        <w:rPr>
          <w:rFonts w:ascii="仿宋_GB2312" w:hAnsi="仿宋_GB2312"/>
          <w:kern w:val="0"/>
        </w:rPr>
        <w:t>企业资信及履约能力评审得分</w:t>
      </w:r>
    </w:p>
    <w:p>
      <w:pPr>
        <w:widowControl/>
        <w:shd w:val="clear" w:color="auto" w:fill="FFFFFF"/>
        <w:ind w:firstLine="640" w:firstLineChars="200"/>
        <w:rPr>
          <w:kern w:val="0"/>
        </w:rPr>
      </w:pPr>
      <w:r>
        <w:rPr>
          <w:kern w:val="0"/>
        </w:rPr>
        <w:t>F——</w:t>
      </w:r>
      <w:r>
        <w:rPr>
          <w:rFonts w:hint="eastAsia"/>
          <w:kern w:val="0"/>
        </w:rPr>
        <w:t>投标</w:t>
      </w:r>
      <w:r>
        <w:rPr>
          <w:rFonts w:ascii="仿宋_GB2312" w:hAnsi="仿宋_GB2312"/>
          <w:kern w:val="0"/>
        </w:rPr>
        <w:t>报价评审得分</w:t>
      </w:r>
    </w:p>
    <w:p>
      <w:pPr>
        <w:widowControl/>
        <w:shd w:val="clear" w:color="auto" w:fill="FFFFFF"/>
        <w:ind w:firstLine="640" w:firstLineChars="200"/>
        <w:rPr>
          <w:kern w:val="0"/>
        </w:rPr>
      </w:pPr>
      <w:r>
        <w:rPr>
          <w:kern w:val="0"/>
        </w:rPr>
        <w:t>J</w:t>
      </w:r>
      <w:r>
        <w:rPr>
          <w:kern w:val="0"/>
          <w:vertAlign w:val="subscript"/>
        </w:rPr>
        <w:t>1</w:t>
      </w:r>
      <w:r>
        <w:rPr>
          <w:rFonts w:ascii="仿宋_GB2312" w:hAnsi="仿宋_GB2312"/>
          <w:kern w:val="0"/>
        </w:rPr>
        <w:t>、</w:t>
      </w:r>
      <w:r>
        <w:rPr>
          <w:kern w:val="0"/>
        </w:rPr>
        <w:t>J</w:t>
      </w:r>
      <w:r>
        <w:rPr>
          <w:kern w:val="0"/>
          <w:vertAlign w:val="subscript"/>
        </w:rPr>
        <w:t>2</w:t>
      </w:r>
      <w:r>
        <w:rPr>
          <w:rFonts w:ascii="仿宋_GB2312" w:hAnsi="仿宋_GB2312"/>
          <w:kern w:val="0"/>
        </w:rPr>
        <w:t>、</w:t>
      </w:r>
      <w:r>
        <w:rPr>
          <w:kern w:val="0"/>
        </w:rPr>
        <w:t>J</w:t>
      </w:r>
      <w:r>
        <w:rPr>
          <w:kern w:val="0"/>
          <w:vertAlign w:val="subscript"/>
        </w:rPr>
        <w:t>3</w:t>
      </w:r>
      <w:r>
        <w:rPr>
          <w:kern w:val="0"/>
        </w:rPr>
        <w:t>——</w:t>
      </w:r>
      <w:r>
        <w:rPr>
          <w:rFonts w:ascii="仿宋_GB2312" w:hAnsi="仿宋_GB2312"/>
          <w:kern w:val="0"/>
        </w:rPr>
        <w:t>各项评审因素的权重</w:t>
      </w:r>
    </w:p>
    <w:p>
      <w:pPr>
        <w:widowControl/>
        <w:shd w:val="clear" w:color="auto" w:fill="FFFFFF"/>
        <w:ind w:firstLine="643" w:firstLineChars="200"/>
        <w:rPr>
          <w:rFonts w:ascii="楷体_GB2312" w:eastAsia="楷体_GB2312" w:cs="宋体"/>
          <w:b/>
          <w:bCs/>
          <w:kern w:val="0"/>
        </w:rPr>
      </w:pPr>
      <w:r>
        <w:rPr>
          <w:rFonts w:hint="eastAsia" w:ascii="楷体_GB2312" w:hAnsi="仿宋_GB2312" w:eastAsia="楷体_GB2312"/>
          <w:b/>
          <w:bCs/>
          <w:kern w:val="0"/>
        </w:rPr>
        <w:t>（三）投标报价评审的步骤和方式</w:t>
      </w:r>
    </w:p>
    <w:p>
      <w:pPr>
        <w:widowControl/>
        <w:shd w:val="clear" w:color="auto" w:fill="FFFFFF"/>
        <w:ind w:firstLine="640" w:firstLineChars="200"/>
        <w:rPr>
          <w:rFonts w:hint="eastAsia"/>
          <w:kern w:val="0"/>
        </w:rPr>
      </w:pPr>
      <w:r>
        <w:rPr>
          <w:kern w:val="0"/>
        </w:rPr>
        <w:t xml:space="preserve">1. </w:t>
      </w:r>
      <w:r>
        <w:rPr>
          <w:rFonts w:ascii="仿宋_GB2312" w:hAnsi="仿宋_GB2312"/>
          <w:kern w:val="0"/>
        </w:rPr>
        <w:t>按照本办法</w:t>
      </w:r>
      <w:r>
        <w:rPr>
          <w:rFonts w:hint="eastAsia" w:ascii="仿宋_GB2312"/>
          <w:bCs/>
        </w:rPr>
        <w:t>第二十四条至第二十六条</w:t>
      </w:r>
      <w:r>
        <w:rPr>
          <w:rFonts w:ascii="仿宋_GB2312" w:hAnsi="仿宋_GB2312"/>
          <w:kern w:val="0"/>
        </w:rPr>
        <w:t>之规定进行评审，对低于成本报价竞争的投标人予以否决。</w:t>
      </w:r>
    </w:p>
    <w:p>
      <w:pPr>
        <w:widowControl/>
        <w:shd w:val="clear" w:color="auto" w:fill="FFFFFF"/>
        <w:ind w:firstLine="640" w:firstLineChars="200"/>
        <w:rPr>
          <w:kern w:val="0"/>
        </w:rPr>
      </w:pPr>
      <w:r>
        <w:rPr>
          <w:kern w:val="0"/>
        </w:rPr>
        <w:t>2</w:t>
      </w:r>
      <w:r>
        <w:rPr>
          <w:rFonts w:ascii="仿宋_GB2312" w:hAnsi="仿宋_GB2312"/>
          <w:kern w:val="0"/>
        </w:rPr>
        <w:t>．基准价的计算：</w:t>
      </w:r>
    </w:p>
    <w:p>
      <w:pPr>
        <w:widowControl/>
        <w:shd w:val="clear" w:color="auto" w:fill="FFFFFF"/>
        <w:ind w:firstLine="640" w:firstLineChars="200"/>
        <w:rPr>
          <w:kern w:val="0"/>
        </w:rPr>
      </w:pPr>
      <w:r>
        <w:rPr>
          <w:rFonts w:ascii="仿宋_GB2312" w:hAnsi="仿宋_GB2312"/>
          <w:kern w:val="0"/>
        </w:rPr>
        <w:t>基准价按附件</w:t>
      </w:r>
      <w:r>
        <w:rPr>
          <w:kern w:val="0"/>
        </w:rPr>
        <w:t>5-2</w:t>
      </w:r>
      <w:r>
        <w:rPr>
          <w:rFonts w:hint="eastAsia" w:ascii="仿宋_GB2312" w:hAnsi="仿宋_GB2312"/>
          <w:kern w:val="0"/>
        </w:rPr>
        <w:t>和</w:t>
      </w:r>
      <w:r>
        <w:rPr>
          <w:rFonts w:ascii="仿宋_GB2312" w:hAnsi="仿宋_GB2312"/>
          <w:kern w:val="0"/>
        </w:rPr>
        <w:t>附件</w:t>
      </w:r>
      <w:r>
        <w:rPr>
          <w:kern w:val="0"/>
        </w:rPr>
        <w:t>5-3</w:t>
      </w:r>
      <w:r>
        <w:rPr>
          <w:rFonts w:ascii="仿宋_GB2312" w:hAnsi="仿宋_GB2312"/>
          <w:kern w:val="0"/>
        </w:rPr>
        <w:t>的计算方式进行计算。</w:t>
      </w:r>
    </w:p>
    <w:p>
      <w:pPr>
        <w:widowControl/>
        <w:shd w:val="clear" w:color="auto" w:fill="FFFFFF"/>
        <w:ind w:firstLine="640" w:firstLineChars="200"/>
        <w:rPr>
          <w:kern w:val="0"/>
        </w:rPr>
      </w:pPr>
      <w:r>
        <w:rPr>
          <w:rFonts w:ascii="仿宋_GB2312" w:hAnsi="仿宋_GB2312"/>
          <w:kern w:val="0"/>
        </w:rPr>
        <w:t>施工总承包单项最高投标限价在</w:t>
      </w:r>
      <w:r>
        <w:rPr>
          <w:kern w:val="0"/>
        </w:rPr>
        <w:t>5000</w:t>
      </w:r>
      <w:r>
        <w:rPr>
          <w:rFonts w:ascii="仿宋_GB2312" w:hAnsi="仿宋_GB2312"/>
          <w:kern w:val="0"/>
        </w:rPr>
        <w:t>万元以下、专业承包单项最高投标限价在</w:t>
      </w:r>
      <w:r>
        <w:rPr>
          <w:kern w:val="0"/>
        </w:rPr>
        <w:t>1500</w:t>
      </w:r>
      <w:r>
        <w:rPr>
          <w:rFonts w:ascii="仿宋_GB2312" w:hAnsi="仿宋_GB2312"/>
          <w:kern w:val="0"/>
        </w:rPr>
        <w:t>万元以下，采用综合评估法的，应使用附件</w:t>
      </w:r>
      <w:r>
        <w:rPr>
          <w:kern w:val="0"/>
        </w:rPr>
        <w:t>5-2</w:t>
      </w:r>
      <w:r>
        <w:rPr>
          <w:rFonts w:ascii="仿宋_GB2312" w:hAnsi="仿宋_GB2312"/>
          <w:kern w:val="0"/>
        </w:rPr>
        <w:t>的方式计算基准价；</w:t>
      </w:r>
    </w:p>
    <w:p>
      <w:pPr>
        <w:widowControl/>
        <w:shd w:val="clear" w:color="auto" w:fill="FFFFFF"/>
        <w:ind w:firstLine="640" w:firstLineChars="200"/>
        <w:rPr>
          <w:kern w:val="0"/>
        </w:rPr>
      </w:pPr>
      <w:r>
        <w:rPr>
          <w:rFonts w:ascii="仿宋_GB2312" w:hAnsi="仿宋_GB2312"/>
          <w:kern w:val="0"/>
        </w:rPr>
        <w:t>施工总承包单项最高投标限价</w:t>
      </w:r>
      <w:r>
        <w:rPr>
          <w:rFonts w:hint="eastAsia" w:ascii="仿宋_GB2312"/>
          <w:kern w:val="0"/>
        </w:rPr>
        <w:t>超过</w:t>
      </w:r>
      <w:r>
        <w:rPr>
          <w:kern w:val="0"/>
        </w:rPr>
        <w:t>5000</w:t>
      </w:r>
      <w:r>
        <w:rPr>
          <w:rFonts w:ascii="仿宋_GB2312" w:hAnsi="仿宋_GB2312"/>
          <w:kern w:val="0"/>
        </w:rPr>
        <w:t>万元至</w:t>
      </w:r>
      <w:r>
        <w:rPr>
          <w:kern w:val="0"/>
        </w:rPr>
        <w:t>20000</w:t>
      </w:r>
      <w:r>
        <w:rPr>
          <w:rFonts w:ascii="仿宋_GB2312" w:hAnsi="仿宋_GB2312"/>
          <w:kern w:val="0"/>
        </w:rPr>
        <w:t>万</w:t>
      </w:r>
      <w:r>
        <w:rPr>
          <w:rFonts w:hint="eastAsia" w:ascii="仿宋_GB2312"/>
          <w:kern w:val="0"/>
        </w:rPr>
        <w:t>元</w:t>
      </w:r>
      <w:r>
        <w:rPr>
          <w:rFonts w:ascii="仿宋_GB2312" w:hAnsi="仿宋_GB2312"/>
          <w:kern w:val="0"/>
        </w:rPr>
        <w:t>以下、专业承包单项最高投标限价</w:t>
      </w:r>
      <w:r>
        <w:rPr>
          <w:rFonts w:hint="eastAsia" w:ascii="仿宋_GB2312"/>
          <w:kern w:val="0"/>
        </w:rPr>
        <w:t>超过</w:t>
      </w:r>
      <w:r>
        <w:rPr>
          <w:kern w:val="0"/>
        </w:rPr>
        <w:t>1500</w:t>
      </w:r>
      <w:r>
        <w:rPr>
          <w:rFonts w:ascii="仿宋_GB2312" w:hAnsi="仿宋_GB2312"/>
          <w:kern w:val="0"/>
        </w:rPr>
        <w:t>万元至</w:t>
      </w:r>
      <w:r>
        <w:rPr>
          <w:kern w:val="0"/>
        </w:rPr>
        <w:t>3000</w:t>
      </w:r>
      <w:r>
        <w:rPr>
          <w:rFonts w:ascii="仿宋_GB2312" w:hAnsi="仿宋_GB2312"/>
          <w:kern w:val="0"/>
        </w:rPr>
        <w:t>万</w:t>
      </w:r>
      <w:r>
        <w:rPr>
          <w:rFonts w:hint="eastAsia" w:ascii="仿宋_GB2312"/>
          <w:kern w:val="0"/>
        </w:rPr>
        <w:t>元</w:t>
      </w:r>
      <w:r>
        <w:rPr>
          <w:rFonts w:ascii="仿宋_GB2312" w:hAnsi="仿宋_GB2312"/>
          <w:kern w:val="0"/>
        </w:rPr>
        <w:t>以下的，可以使用附件</w:t>
      </w:r>
      <w:r>
        <w:rPr>
          <w:kern w:val="0"/>
        </w:rPr>
        <w:t>5-2</w:t>
      </w:r>
      <w:r>
        <w:rPr>
          <w:rFonts w:ascii="仿宋_GB2312" w:hAnsi="仿宋_GB2312"/>
          <w:kern w:val="0"/>
        </w:rPr>
        <w:t>或附件</w:t>
      </w:r>
      <w:r>
        <w:rPr>
          <w:kern w:val="0"/>
        </w:rPr>
        <w:t>5-3</w:t>
      </w:r>
      <w:r>
        <w:rPr>
          <w:rFonts w:ascii="仿宋_GB2312" w:hAnsi="仿宋_GB2312"/>
          <w:kern w:val="0"/>
        </w:rPr>
        <w:t>的方式计算基准价；</w:t>
      </w:r>
    </w:p>
    <w:p>
      <w:pPr>
        <w:widowControl/>
        <w:shd w:val="clear" w:color="auto" w:fill="FFFFFF"/>
        <w:ind w:firstLine="640" w:firstLineChars="200"/>
        <w:rPr>
          <w:kern w:val="0"/>
        </w:rPr>
      </w:pPr>
      <w:r>
        <w:rPr>
          <w:rFonts w:ascii="仿宋_GB2312" w:hAnsi="仿宋_GB2312"/>
          <w:kern w:val="0"/>
        </w:rPr>
        <w:t>施工总承包单项最高投标限价</w:t>
      </w:r>
      <w:r>
        <w:rPr>
          <w:rFonts w:hint="eastAsia" w:ascii="仿宋_GB2312"/>
          <w:kern w:val="0"/>
        </w:rPr>
        <w:t>超过</w:t>
      </w:r>
      <w:r>
        <w:rPr>
          <w:kern w:val="0"/>
        </w:rPr>
        <w:t>20000</w:t>
      </w:r>
      <w:r>
        <w:rPr>
          <w:rFonts w:ascii="仿宋_GB2312" w:hAnsi="仿宋_GB2312"/>
          <w:kern w:val="0"/>
        </w:rPr>
        <w:t>万元、专业承包单项最高投标限价</w:t>
      </w:r>
      <w:r>
        <w:rPr>
          <w:rFonts w:hint="eastAsia" w:ascii="仿宋_GB2312"/>
          <w:kern w:val="0"/>
        </w:rPr>
        <w:t>超过</w:t>
      </w:r>
      <w:r>
        <w:rPr>
          <w:kern w:val="0"/>
        </w:rPr>
        <w:t>3000</w:t>
      </w:r>
      <w:r>
        <w:rPr>
          <w:rFonts w:ascii="仿宋_GB2312" w:hAnsi="仿宋_GB2312"/>
          <w:kern w:val="0"/>
        </w:rPr>
        <w:t>万元的，应使用附件</w:t>
      </w:r>
      <w:r>
        <w:rPr>
          <w:kern w:val="0"/>
        </w:rPr>
        <w:t>5-3</w:t>
      </w:r>
      <w:r>
        <w:rPr>
          <w:rFonts w:ascii="仿宋_GB2312" w:hAnsi="仿宋_GB2312"/>
          <w:kern w:val="0"/>
        </w:rPr>
        <w:t>的方式计算基准价。</w:t>
      </w:r>
    </w:p>
    <w:p>
      <w:pPr>
        <w:widowControl/>
        <w:shd w:val="clear" w:color="auto" w:fill="FFFFFF"/>
        <w:ind w:firstLine="643" w:firstLineChars="200"/>
        <w:rPr>
          <w:rFonts w:ascii="楷体_GB2312" w:hAnsi="仿宋_GB2312" w:eastAsia="楷体_GB2312" w:cs="宋体"/>
          <w:b/>
          <w:bCs/>
          <w:kern w:val="0"/>
        </w:rPr>
      </w:pPr>
      <w:r>
        <w:rPr>
          <w:rFonts w:hint="eastAsia" w:ascii="楷体_GB2312" w:hAnsi="仿宋_GB2312" w:eastAsia="楷体_GB2312"/>
          <w:b/>
          <w:bCs/>
          <w:kern w:val="0"/>
        </w:rPr>
        <w:t>（四）各项评审因素权重</w:t>
      </w:r>
    </w:p>
    <w:tbl>
      <w:tblPr>
        <w:tblStyle w:val="3"/>
        <w:tblW w:w="79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3780"/>
        <w:gridCol w:w="3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1132" w:type="dxa"/>
            <w:tcBorders>
              <w:top w:val="single" w:color="auto" w:sz="12" w:space="0"/>
              <w:left w:val="nil"/>
              <w:bottom w:val="single" w:color="auto" w:sz="6" w:space="0"/>
              <w:right w:val="single" w:color="auto" w:sz="6" w:space="0"/>
            </w:tcBorders>
            <w:noWrap w:val="0"/>
            <w:vAlign w:val="center"/>
          </w:tcPr>
          <w:p>
            <w:pPr>
              <w:widowControl/>
              <w:jc w:val="center"/>
              <w:rPr>
                <w:rFonts w:ascii="仿宋_GB2312" w:hAnsi="Calibri" w:cs="宋体"/>
                <w:kern w:val="0"/>
                <w:szCs w:val="32"/>
              </w:rPr>
            </w:pPr>
            <w:r>
              <w:rPr>
                <w:rFonts w:hint="eastAsia" w:ascii="仿宋_GB2312"/>
                <w:kern w:val="0"/>
              </w:rPr>
              <w:t>序号</w:t>
            </w:r>
          </w:p>
        </w:tc>
        <w:tc>
          <w:tcPr>
            <w:tcW w:w="3780"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仿宋_GB2312" w:hAnsi="Calibri" w:cs="宋体"/>
                <w:kern w:val="0"/>
                <w:szCs w:val="32"/>
              </w:rPr>
            </w:pPr>
            <w:r>
              <w:rPr>
                <w:rFonts w:hint="eastAsia" w:ascii="仿宋_GB2312"/>
                <w:kern w:val="0"/>
              </w:rPr>
              <w:t>评审因素</w:t>
            </w:r>
          </w:p>
        </w:tc>
        <w:tc>
          <w:tcPr>
            <w:tcW w:w="3060" w:type="dxa"/>
            <w:tcBorders>
              <w:top w:val="single" w:color="auto" w:sz="12" w:space="0"/>
              <w:left w:val="single" w:color="auto" w:sz="6" w:space="0"/>
              <w:bottom w:val="single" w:color="auto" w:sz="6" w:space="0"/>
              <w:right w:val="nil"/>
            </w:tcBorders>
            <w:noWrap w:val="0"/>
            <w:vAlign w:val="center"/>
          </w:tcPr>
          <w:p>
            <w:pPr>
              <w:widowControl/>
              <w:jc w:val="center"/>
              <w:rPr>
                <w:rFonts w:ascii="仿宋_GB2312" w:hAnsi="Calibri" w:cs="宋体"/>
                <w:kern w:val="0"/>
                <w:szCs w:val="32"/>
              </w:rPr>
            </w:pPr>
            <w:r>
              <w:rPr>
                <w:rFonts w:hint="eastAsia" w:ascii="仿宋_GB2312"/>
                <w:kern w:val="0"/>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1132" w:type="dxa"/>
            <w:tcBorders>
              <w:top w:val="single" w:color="auto" w:sz="6" w:space="0"/>
              <w:left w:val="nil"/>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1</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施工组织设计</w:t>
            </w:r>
          </w:p>
        </w:tc>
        <w:tc>
          <w:tcPr>
            <w:tcW w:w="3060" w:type="dxa"/>
            <w:tcBorders>
              <w:top w:val="single" w:color="auto" w:sz="6" w:space="0"/>
              <w:left w:val="single" w:color="auto" w:sz="6" w:space="0"/>
              <w:bottom w:val="single" w:color="auto" w:sz="6" w:space="0"/>
              <w:right w:val="nil"/>
            </w:tcBorders>
            <w:noWrap w:val="0"/>
            <w:vAlign w:val="center"/>
          </w:tcPr>
          <w:p>
            <w:pPr>
              <w:jc w:val="center"/>
              <w:rPr>
                <w:rFonts w:ascii="仿宋_GB2312" w:hAnsi="Calibri" w:cs="宋体"/>
                <w:szCs w:val="32"/>
              </w:rPr>
            </w:pPr>
            <w:r>
              <w:rPr>
                <w:rFonts w:hint="eastAsia" w:ascii="仿宋_GB2312"/>
              </w:rPr>
              <w:t>0.00-0.20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1132" w:type="dxa"/>
            <w:tcBorders>
              <w:top w:val="single" w:color="auto" w:sz="6" w:space="0"/>
              <w:left w:val="nil"/>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2</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企业资信及履约能力</w:t>
            </w:r>
          </w:p>
        </w:tc>
        <w:tc>
          <w:tcPr>
            <w:tcW w:w="3060" w:type="dxa"/>
            <w:tcBorders>
              <w:top w:val="single" w:color="auto" w:sz="6" w:space="0"/>
              <w:left w:val="single" w:color="auto" w:sz="6" w:space="0"/>
              <w:bottom w:val="single" w:color="auto" w:sz="6" w:space="0"/>
              <w:right w:val="nil"/>
            </w:tcBorders>
            <w:noWrap w:val="0"/>
            <w:vAlign w:val="center"/>
          </w:tcPr>
          <w:p>
            <w:pPr>
              <w:jc w:val="center"/>
              <w:rPr>
                <w:rFonts w:ascii="仿宋_GB2312" w:hAnsi="Calibri" w:cs="宋体"/>
                <w:szCs w:val="32"/>
              </w:rPr>
            </w:pPr>
            <w:r>
              <w:rPr>
                <w:rFonts w:hint="eastAsia" w:ascii="仿宋_GB2312"/>
              </w:rPr>
              <w:t>0.35-0.45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1132" w:type="dxa"/>
            <w:tcBorders>
              <w:top w:val="single" w:color="auto" w:sz="6" w:space="0"/>
              <w:left w:val="nil"/>
              <w:bottom w:val="single" w:color="auto" w:sz="6" w:space="0"/>
              <w:right w:val="single" w:color="auto" w:sz="6" w:space="0"/>
            </w:tcBorders>
            <w:noWrap w:val="0"/>
            <w:vAlign w:val="center"/>
          </w:tcPr>
          <w:p>
            <w:pPr>
              <w:jc w:val="center"/>
              <w:rPr>
                <w:rFonts w:ascii="仿宋_GB2312" w:hAnsi="Calibri" w:cs="宋体"/>
                <w:szCs w:val="32"/>
              </w:rPr>
            </w:pPr>
            <w:r>
              <w:rPr>
                <w:rFonts w:hint="eastAsia" w:ascii="仿宋_GB2312"/>
              </w:rPr>
              <w:t>3</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Calibri" w:cs="宋体"/>
                <w:spacing w:val="-14"/>
                <w:szCs w:val="32"/>
              </w:rPr>
            </w:pPr>
            <w:r>
              <w:rPr>
                <w:rFonts w:hint="eastAsia" w:ascii="仿宋_GB2312"/>
              </w:rPr>
              <w:t>投标报价</w:t>
            </w:r>
          </w:p>
        </w:tc>
        <w:tc>
          <w:tcPr>
            <w:tcW w:w="3060" w:type="dxa"/>
            <w:tcBorders>
              <w:top w:val="single" w:color="auto" w:sz="6" w:space="0"/>
              <w:left w:val="single" w:color="auto" w:sz="6" w:space="0"/>
              <w:bottom w:val="single" w:color="auto" w:sz="6" w:space="0"/>
              <w:right w:val="nil"/>
            </w:tcBorders>
            <w:noWrap w:val="0"/>
            <w:vAlign w:val="center"/>
          </w:tcPr>
          <w:p>
            <w:pPr>
              <w:jc w:val="center"/>
              <w:rPr>
                <w:rFonts w:ascii="仿宋_GB2312" w:hAnsi="Calibri" w:cs="宋体"/>
                <w:szCs w:val="32"/>
              </w:rPr>
            </w:pPr>
            <w:r>
              <w:rPr>
                <w:rFonts w:hint="eastAsia" w:ascii="仿宋_GB2312"/>
              </w:rPr>
              <w:t>0.35-0.55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4912" w:type="dxa"/>
            <w:gridSpan w:val="2"/>
            <w:tcBorders>
              <w:top w:val="single" w:color="auto" w:sz="6" w:space="0"/>
              <w:left w:val="nil"/>
              <w:bottom w:val="single" w:color="auto" w:sz="12" w:space="0"/>
              <w:right w:val="single" w:color="auto" w:sz="6" w:space="0"/>
            </w:tcBorders>
            <w:noWrap w:val="0"/>
            <w:vAlign w:val="center"/>
          </w:tcPr>
          <w:p>
            <w:pPr>
              <w:jc w:val="center"/>
              <w:rPr>
                <w:rFonts w:ascii="仿宋_GB2312" w:hAnsi="Calibri" w:cs="宋体"/>
                <w:szCs w:val="32"/>
              </w:rPr>
            </w:pPr>
            <w:r>
              <w:rPr>
                <w:rFonts w:hint="eastAsia" w:ascii="仿宋_GB2312"/>
              </w:rPr>
              <w:t>合  计</w:t>
            </w:r>
          </w:p>
        </w:tc>
        <w:tc>
          <w:tcPr>
            <w:tcW w:w="3060" w:type="dxa"/>
            <w:tcBorders>
              <w:top w:val="single" w:color="auto" w:sz="6" w:space="0"/>
              <w:left w:val="single" w:color="auto" w:sz="6" w:space="0"/>
              <w:bottom w:val="single" w:color="auto" w:sz="12" w:space="0"/>
              <w:right w:val="nil"/>
            </w:tcBorders>
            <w:noWrap w:val="0"/>
            <w:vAlign w:val="center"/>
          </w:tcPr>
          <w:p>
            <w:pPr>
              <w:jc w:val="center"/>
              <w:rPr>
                <w:rFonts w:ascii="仿宋_GB2312" w:hAnsi="Calibri" w:cs="宋体"/>
                <w:szCs w:val="32"/>
              </w:rPr>
            </w:pPr>
            <w:r>
              <w:rPr>
                <w:rFonts w:hint="eastAsia" w:ascii="仿宋_GB2312"/>
              </w:rPr>
              <w:t>1</w:t>
            </w:r>
          </w:p>
        </w:tc>
      </w:tr>
    </w:tbl>
    <w:p>
      <w:pPr>
        <w:widowControl/>
        <w:shd w:val="clear" w:color="auto" w:fill="FFFFFF"/>
        <w:ind w:firstLine="640" w:firstLineChars="200"/>
        <w:rPr>
          <w:rFonts w:hint="eastAsia" w:ascii="黑体" w:eastAsia="黑体"/>
          <w:kern w:val="0"/>
        </w:rPr>
      </w:pPr>
    </w:p>
    <w:p>
      <w:pPr>
        <w:widowControl/>
        <w:shd w:val="clear" w:color="auto" w:fill="FFFFFF"/>
        <w:ind w:firstLine="640" w:firstLineChars="200"/>
        <w:rPr>
          <w:rFonts w:hint="eastAsia" w:ascii="黑体" w:hAnsi="Calibri" w:eastAsia="黑体"/>
          <w:kern w:val="0"/>
          <w:szCs w:val="32"/>
        </w:rPr>
      </w:pPr>
      <w:bookmarkStart w:id="0" w:name="_GoBack"/>
      <w:bookmarkEnd w:id="0"/>
      <w:r>
        <w:rPr>
          <w:rFonts w:hint="eastAsia" w:ascii="黑体" w:eastAsia="黑体"/>
          <w:kern w:val="0"/>
        </w:rPr>
        <w:t>三、中标候选人的确定</w:t>
      </w:r>
    </w:p>
    <w:p>
      <w:pPr>
        <w:ind w:firstLine="640" w:firstLineChars="200"/>
        <w:rPr>
          <w:rFonts w:hint="eastAsia" w:ascii="仿宋_GB2312"/>
        </w:rPr>
      </w:pPr>
      <w:r>
        <w:rPr>
          <w:rFonts w:ascii="仿宋_GB2312" w:hAnsi="仿宋_GB2312"/>
        </w:rPr>
        <w:t>按照评标总得分从高至低确定投标人排序。根据招标文件的要求，推荐不超过</w:t>
      </w:r>
      <w:r>
        <w:t>3</w:t>
      </w:r>
      <w:r>
        <w:rPr>
          <w:rFonts w:ascii="仿宋_GB2312" w:hAnsi="仿宋_GB2312"/>
        </w:rPr>
        <w:t>个有排序的中标候选人，招标人按照中标候选人的排序确定中标人。</w:t>
      </w:r>
      <w:r>
        <w:rPr>
          <w:rFonts w:ascii="仿宋_GB2312" w:hAnsi="仿宋_GB2312"/>
          <w:kern w:val="0"/>
        </w:rPr>
        <w:t>或者</w:t>
      </w:r>
      <w:r>
        <w:rPr>
          <w:rFonts w:ascii="仿宋_GB2312" w:hAnsi="仿宋_GB2312"/>
        </w:rPr>
        <w:t>按照招标文件的要求，由评标委员会推荐</w:t>
      </w:r>
      <w:r>
        <w:t>3</w:t>
      </w:r>
      <w:r>
        <w:rPr>
          <w:rFonts w:ascii="仿宋_GB2312" w:hAnsi="仿宋_GB2312"/>
        </w:rPr>
        <w:t>个不排序的中标候选人，由招标人确定中标人。</w:t>
      </w:r>
    </w:p>
    <w:p>
      <w:r>
        <w:rPr>
          <w:rFonts w:hint="eastAsia" w:ascii="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14BC5"/>
    <w:rsid w:val="7871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2021-10-27T01:42:00Z</dcterms:created>
  <dc:creator>黑书包</dc:creator>
  <cp:lastModifiedBy>黑书包</cp:lastModifiedBy>
  <dcterms:modified xsi:type="dcterms:W3CDTF">2021-10-27T01:43:13Z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