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4" w:leftChars="-198" w:firstLine="640" w:firstLineChars="200"/>
        <w:rPr>
          <w:rFonts w:hint="eastAsia" w:ascii="黑体" w:eastAsia="黑体" w:cs="仿宋_GB2312"/>
        </w:rPr>
      </w:pPr>
      <w:r>
        <w:rPr>
          <w:rFonts w:hint="eastAsia" w:ascii="黑体" w:eastAsia="黑体" w:cs="仿宋_GB2312"/>
        </w:rPr>
        <w:t>附件3-1</w:t>
      </w:r>
    </w:p>
    <w:p>
      <w:pPr>
        <w:spacing w:after="159" w:afterLines="5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施工组织设计评审表</w:t>
      </w:r>
    </w:p>
    <w:tbl>
      <w:tblPr>
        <w:tblStyle w:val="3"/>
        <w:tblW w:w="14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2650"/>
        <w:gridCol w:w="980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 w:hRule="atLeast"/>
          <w:jc w:val="center"/>
        </w:trPr>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b/>
                <w:bCs/>
                <w:sz w:val="24"/>
              </w:rPr>
            </w:pPr>
            <w:r>
              <w:rPr>
                <w:rFonts w:hint="eastAsia" w:ascii="宋体" w:hAnsi="宋体" w:eastAsia="宋体" w:cs="仿宋_GB2312"/>
                <w:b/>
                <w:bCs/>
                <w:sz w:val="24"/>
              </w:rPr>
              <w:t>序号</w:t>
            </w:r>
          </w:p>
        </w:tc>
        <w:tc>
          <w:tcPr>
            <w:tcW w:w="26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b/>
                <w:bCs/>
                <w:sz w:val="24"/>
              </w:rPr>
            </w:pPr>
            <w:r>
              <w:rPr>
                <w:rFonts w:hint="eastAsia" w:ascii="宋体" w:hAnsi="宋体" w:eastAsia="宋体" w:cs="仿宋_GB2312"/>
                <w:b/>
                <w:bCs/>
                <w:sz w:val="24"/>
              </w:rPr>
              <w:t>评审因素</w:t>
            </w: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b/>
                <w:bCs/>
                <w:sz w:val="24"/>
              </w:rPr>
            </w:pPr>
            <w:r>
              <w:rPr>
                <w:rFonts w:hint="eastAsia" w:ascii="宋体" w:hAnsi="宋体" w:eastAsia="宋体" w:cs="仿宋_GB2312"/>
                <w:b/>
                <w:bCs/>
                <w:sz w:val="24"/>
              </w:rPr>
              <w:t xml:space="preserve">                             评审标准                                                      </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b/>
                <w:bCs/>
                <w:sz w:val="24"/>
              </w:rPr>
            </w:pPr>
            <w:r>
              <w:rPr>
                <w:rFonts w:hint="eastAsia" w:ascii="宋体" w:hAnsi="宋体" w:eastAsia="宋体" w:cs="仿宋_GB2312"/>
                <w:b/>
                <w:bCs/>
                <w:sz w:val="24"/>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9" w:hRule="atLeast"/>
          <w:jc w:val="center"/>
        </w:trPr>
        <w:tc>
          <w:tcPr>
            <w:tcW w:w="645"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1</w:t>
            </w:r>
          </w:p>
        </w:tc>
        <w:tc>
          <w:tcPr>
            <w:tcW w:w="2650" w:type="dxa"/>
            <w:vMerge w:val="restar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施工方案与技术措施</w:t>
            </w: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1.施工方案不完整，且缺少关键项目施工技术方案；或者市政项目缺少交通措施（除招标文件明确不需要外）；</w:t>
            </w:r>
          </w:p>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2.引用强制性技术标准错误，或明显违反国家和省有关规定。</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6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265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jc w:val="center"/>
              <w:rPr>
                <w:rFonts w:ascii="宋体" w:hAnsi="宋体" w:eastAsia="宋体" w:cs="仿宋_GB2312"/>
                <w:sz w:val="24"/>
              </w:rPr>
            </w:pPr>
            <w:r>
              <w:rPr>
                <w:rFonts w:hint="eastAsia" w:ascii="宋体" w:hAnsi="宋体" w:eastAsia="宋体" w:cs="仿宋_GB2312"/>
                <w:sz w:val="24"/>
              </w:rPr>
              <w:t>无不合格内容</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jc w:val="center"/>
        </w:trPr>
        <w:tc>
          <w:tcPr>
            <w:tcW w:w="645"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2</w:t>
            </w:r>
          </w:p>
        </w:tc>
        <w:tc>
          <w:tcPr>
            <w:tcW w:w="2650" w:type="dxa"/>
            <w:vMerge w:val="restar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质量管理体系与措施</w:t>
            </w: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1.质量目标不满足招标文件要求，缺少质量保证措施；</w:t>
            </w:r>
          </w:p>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2.引用强制性技术标准错误，或明显违反国家和省有关规定。</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9" w:hRule="atLeast"/>
          <w:jc w:val="center"/>
        </w:trPr>
        <w:tc>
          <w:tcPr>
            <w:tcW w:w="6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265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jc w:val="center"/>
              <w:rPr>
                <w:rFonts w:ascii="宋体" w:hAnsi="宋体" w:eastAsia="宋体" w:cs="仿宋_GB2312"/>
                <w:sz w:val="24"/>
              </w:rPr>
            </w:pPr>
            <w:r>
              <w:rPr>
                <w:rFonts w:hint="eastAsia" w:ascii="宋体" w:hAnsi="宋体" w:eastAsia="宋体" w:cs="仿宋_GB2312"/>
                <w:sz w:val="24"/>
              </w:rPr>
              <w:t>无不合格内容</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3" w:hRule="atLeast"/>
          <w:jc w:val="center"/>
        </w:trPr>
        <w:tc>
          <w:tcPr>
            <w:tcW w:w="645"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3</w:t>
            </w:r>
          </w:p>
        </w:tc>
        <w:tc>
          <w:tcPr>
            <w:tcW w:w="2650" w:type="dxa"/>
            <w:vMerge w:val="restar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安全管理体系与措施</w:t>
            </w: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1.安全目标不满足招标文件要求，缺少重大危险源识别和控制，缺少施工安全措施；</w:t>
            </w:r>
          </w:p>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2.引用强制性技术标准错误，或明显违反国家和省有关规定。</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6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265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ind w:left="160" w:leftChars="50" w:right="160" w:rightChars="50"/>
              <w:jc w:val="center"/>
              <w:rPr>
                <w:rFonts w:ascii="宋体" w:hAnsi="宋体" w:eastAsia="宋体" w:cs="仿宋_GB2312"/>
                <w:sz w:val="24"/>
              </w:rPr>
            </w:pPr>
            <w:r>
              <w:rPr>
                <w:rFonts w:hint="eastAsia" w:ascii="宋体" w:hAnsi="宋体" w:eastAsia="宋体" w:cs="仿宋_GB2312"/>
                <w:sz w:val="24"/>
              </w:rPr>
              <w:t>无不合格内容</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5" w:hRule="atLeast"/>
          <w:jc w:val="center"/>
        </w:trPr>
        <w:tc>
          <w:tcPr>
            <w:tcW w:w="645"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4</w:t>
            </w:r>
          </w:p>
        </w:tc>
        <w:tc>
          <w:tcPr>
            <w:tcW w:w="2650" w:type="dxa"/>
            <w:vMerge w:val="restart"/>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ascii="宋体" w:hAnsi="宋体" w:eastAsia="宋体" w:cs="仿宋_GB2312"/>
                <w:sz w:val="24"/>
              </w:rPr>
            </w:pPr>
            <w:r>
              <w:rPr>
                <w:rFonts w:hint="eastAsia" w:ascii="宋体" w:hAnsi="宋体" w:eastAsia="宋体" w:cs="仿宋_GB2312"/>
                <w:sz w:val="24"/>
              </w:rPr>
              <w:t>BIM技术管理体系与</w:t>
            </w:r>
          </w:p>
          <w:p>
            <w:pPr>
              <w:spacing w:line="320" w:lineRule="exact"/>
              <w:jc w:val="center"/>
              <w:rPr>
                <w:rFonts w:ascii="宋体" w:hAnsi="宋体" w:eastAsia="宋体" w:cs="仿宋_GB2312"/>
                <w:sz w:val="24"/>
              </w:rPr>
            </w:pPr>
            <w:r>
              <w:rPr>
                <w:rFonts w:hint="eastAsia" w:ascii="宋体" w:hAnsi="宋体" w:eastAsia="宋体" w:cs="仿宋_GB2312"/>
                <w:sz w:val="24"/>
              </w:rPr>
              <w:t>措施（如有）</w:t>
            </w: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1.BIM技术应用目标不满足招标文件要求，缺少推进BIM技术应用的技术条件和物质基础；</w:t>
            </w:r>
          </w:p>
          <w:p>
            <w:pPr>
              <w:spacing w:line="320" w:lineRule="exact"/>
              <w:ind w:left="160" w:leftChars="50" w:right="160" w:rightChars="50"/>
              <w:rPr>
                <w:rFonts w:ascii="宋体" w:hAnsi="宋体" w:eastAsia="宋体" w:cs="仿宋_GB2312"/>
                <w:sz w:val="24"/>
              </w:rPr>
            </w:pPr>
            <w:r>
              <w:rPr>
                <w:rFonts w:hint="eastAsia" w:ascii="宋体" w:hAnsi="宋体" w:eastAsia="宋体" w:cs="仿宋_GB2312"/>
                <w:sz w:val="24"/>
              </w:rPr>
              <w:t>2.BIM技术应用技术方案不完整或者不合理。</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jc w:val="center"/>
        </w:trPr>
        <w:tc>
          <w:tcPr>
            <w:tcW w:w="6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265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sz w:val="24"/>
              </w:rPr>
            </w:pPr>
          </w:p>
        </w:tc>
        <w:tc>
          <w:tcPr>
            <w:tcW w:w="9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无不合格内容</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仿宋_GB2312"/>
                <w:sz w:val="24"/>
              </w:rPr>
            </w:pPr>
            <w:r>
              <w:rPr>
                <w:rFonts w:hint="eastAsia" w:ascii="宋体" w:hAnsi="宋体" w:eastAsia="宋体" w:cs="仿宋_GB2312"/>
                <w:sz w:val="24"/>
              </w:rPr>
              <w:t>合格</w:t>
            </w:r>
          </w:p>
        </w:tc>
      </w:tr>
    </w:tbl>
    <w:p>
      <w:pPr>
        <w:widowControl/>
        <w:shd w:val="clear" w:color="auto" w:fill="FFFFFF"/>
        <w:ind w:left="-634" w:leftChars="-198" w:firstLine="633" w:firstLineChars="264"/>
        <w:rPr>
          <w:rFonts w:hint="eastAsia" w:ascii="宋体" w:hAnsi="宋体" w:eastAsia="宋体" w:cs="仿宋_GB2312"/>
          <w:sz w:val="24"/>
        </w:rPr>
      </w:pPr>
      <w:r>
        <w:rPr>
          <w:rFonts w:hint="eastAsia" w:ascii="宋体" w:hAnsi="宋体" w:eastAsia="宋体" w:cs="仿宋_GB2312"/>
          <w:sz w:val="24"/>
        </w:rPr>
        <w:t>注：1.适用于施工组织设计采用合格性评审项目；</w:t>
      </w:r>
    </w:p>
    <w:p>
      <w:pPr>
        <w:widowControl/>
        <w:shd w:val="clear" w:color="auto" w:fill="FFFFFF"/>
        <w:ind w:left="-634" w:leftChars="-198" w:firstLine="1113" w:firstLineChars="464"/>
        <w:rPr>
          <w:rFonts w:hint="eastAsia" w:ascii="宋体" w:hAnsi="宋体" w:eastAsia="宋体" w:cs="仿宋_GB2312"/>
          <w:sz w:val="24"/>
        </w:rPr>
      </w:pPr>
      <w:r>
        <w:rPr>
          <w:rFonts w:hint="eastAsia" w:ascii="宋体" w:hAnsi="宋体" w:eastAsia="宋体" w:cs="仿宋_GB2312"/>
          <w:sz w:val="24"/>
        </w:rPr>
        <w:t>2.因施工组织设计缺项或者任意一项评审内容被评标委员会判定为不合格的，施工组织设计应当判定为不合格。</w:t>
      </w:r>
    </w:p>
    <w:p>
      <w:pPr>
        <w:rPr>
          <w:rFonts w:hint="eastAsia" w:ascii="黑体" w:hAnsi="Calibri" w:eastAsia="黑体" w:cs="仿宋_GB2312"/>
          <w:szCs w:val="32"/>
        </w:rPr>
      </w:pPr>
      <w:r>
        <w:rPr>
          <w:rFonts w:hint="eastAsia" w:ascii="仿宋_GB2312"/>
        </w:rPr>
        <w:br w:type="page"/>
      </w:r>
      <w:r>
        <w:rPr>
          <w:rFonts w:hint="eastAsia" w:ascii="黑体" w:eastAsia="黑体" w:cs="仿宋_GB2312"/>
        </w:rPr>
        <w:t>附件3-2</w:t>
      </w:r>
    </w:p>
    <w:p>
      <w:pPr>
        <w:spacing w:after="159" w:afterLines="5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施工组织设计评审表</w:t>
      </w:r>
    </w:p>
    <w:tbl>
      <w:tblPr>
        <w:tblStyle w:val="3"/>
        <w:tblW w:w="14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0"/>
        <w:gridCol w:w="1526"/>
        <w:gridCol w:w="836"/>
        <w:gridCol w:w="10439"/>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8"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b/>
                <w:bCs/>
                <w:sz w:val="24"/>
              </w:rPr>
            </w:pPr>
            <w:r>
              <w:rPr>
                <w:rFonts w:hint="eastAsia" w:ascii="宋体" w:hAnsi="宋体" w:eastAsia="宋体" w:cs="仿宋_GB2312"/>
                <w:b/>
                <w:bCs/>
                <w:sz w:val="24"/>
              </w:rPr>
              <w:t>序号</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b/>
                <w:bCs/>
                <w:sz w:val="24"/>
              </w:rPr>
            </w:pPr>
            <w:r>
              <w:rPr>
                <w:rFonts w:hint="eastAsia" w:ascii="宋体" w:hAnsi="宋体" w:eastAsia="宋体" w:cs="仿宋_GB2312"/>
                <w:b/>
                <w:bCs/>
                <w:sz w:val="24"/>
              </w:rPr>
              <w:t>评审因素</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b/>
                <w:bCs/>
                <w:sz w:val="24"/>
              </w:rPr>
            </w:pPr>
            <w:r>
              <w:rPr>
                <w:rFonts w:hint="eastAsia" w:ascii="宋体" w:hAnsi="宋体" w:eastAsia="宋体" w:cs="仿宋_GB2312"/>
                <w:b/>
                <w:bCs/>
                <w:sz w:val="24"/>
              </w:rPr>
              <w:t>取值</w:t>
            </w:r>
          </w:p>
          <w:p>
            <w:pPr>
              <w:spacing w:line="340" w:lineRule="exact"/>
              <w:jc w:val="center"/>
              <w:rPr>
                <w:rFonts w:ascii="宋体" w:hAnsi="宋体" w:eastAsia="宋体" w:cs="仿宋_GB2312"/>
                <w:b/>
                <w:bCs/>
                <w:sz w:val="24"/>
              </w:rPr>
            </w:pPr>
            <w:r>
              <w:rPr>
                <w:rFonts w:hint="eastAsia" w:ascii="宋体" w:hAnsi="宋体" w:eastAsia="宋体" w:cs="仿宋_GB2312"/>
                <w:b/>
                <w:bCs/>
                <w:sz w:val="24"/>
              </w:rPr>
              <w:t>范围</w:t>
            </w:r>
          </w:p>
        </w:tc>
        <w:tc>
          <w:tcPr>
            <w:tcW w:w="10439" w:type="dxa"/>
            <w:noWrap w:val="0"/>
            <w:tcMar>
              <w:top w:w="15" w:type="dxa"/>
              <w:left w:w="15" w:type="dxa"/>
              <w:bottom w:w="0" w:type="dxa"/>
              <w:right w:w="15" w:type="dxa"/>
            </w:tcMar>
            <w:vAlign w:val="center"/>
          </w:tcPr>
          <w:p>
            <w:pPr>
              <w:spacing w:line="340" w:lineRule="exact"/>
              <w:jc w:val="center"/>
              <w:rPr>
                <w:rFonts w:ascii="宋体" w:hAnsi="宋体" w:eastAsia="宋体" w:cs="仿宋_GB2312"/>
                <w:b/>
                <w:bCs/>
                <w:sz w:val="24"/>
              </w:rPr>
            </w:pPr>
            <w:r>
              <w:rPr>
                <w:rFonts w:hint="eastAsia" w:ascii="宋体" w:hAnsi="宋体" w:eastAsia="宋体" w:cs="仿宋_GB2312"/>
                <w:b/>
                <w:bCs/>
                <w:sz w:val="24"/>
              </w:rPr>
              <w:t>评审标准</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b/>
                <w:bCs/>
                <w:sz w:val="24"/>
              </w:rPr>
            </w:pPr>
            <w:r>
              <w:rPr>
                <w:rFonts w:hint="eastAsia" w:ascii="宋体" w:hAnsi="宋体" w:eastAsia="宋体" w:cs="仿宋_GB2312"/>
                <w:b/>
                <w:bCs/>
                <w:sz w:val="24"/>
              </w:rPr>
              <w:t>评审</w:t>
            </w:r>
          </w:p>
          <w:p>
            <w:pPr>
              <w:spacing w:line="340" w:lineRule="exact"/>
              <w:jc w:val="center"/>
              <w:rPr>
                <w:rFonts w:ascii="宋体" w:hAnsi="宋体" w:eastAsia="宋体" w:cs="仿宋_GB2312"/>
                <w:b/>
                <w:bCs/>
                <w:sz w:val="24"/>
              </w:rPr>
            </w:pPr>
            <w:r>
              <w:rPr>
                <w:rFonts w:hint="eastAsia" w:ascii="宋体" w:hAnsi="宋体" w:eastAsia="宋体" w:cs="仿宋_GB2312"/>
                <w:b/>
                <w:bCs/>
                <w:sz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1</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内容完整和</w:t>
            </w:r>
          </w:p>
          <w:p>
            <w:pPr>
              <w:spacing w:line="340" w:lineRule="exact"/>
              <w:jc w:val="center"/>
              <w:rPr>
                <w:rFonts w:ascii="宋体" w:hAnsi="宋体" w:eastAsia="宋体" w:cs="仿宋_GB2312"/>
                <w:sz w:val="24"/>
              </w:rPr>
            </w:pPr>
            <w:r>
              <w:rPr>
                <w:rFonts w:hint="eastAsia" w:ascii="宋体" w:hAnsi="宋体" w:eastAsia="宋体" w:cs="仿宋_GB2312"/>
                <w:sz w:val="24"/>
              </w:rPr>
              <w:t>编制水平</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0-5</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版面是否整齐，表述是否清晰，内容是否全面、准确，是否图文并茂，是否出现格式等错误，是否超过招标人规定的页数。</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2</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施工方案与        技术措施</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25-30</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对项目总体概况表述是否清晰、完整；部署及措施是否先进、可靠；针对项目的重点、难点分析是否透彻，解决方案是否切实可行；施工平面布置是否有针对性、合理，较好满足施工需要，是否符合安全、文明生产要求。市政基础设施项目，交通组织规划是否合理、可行，交通组织措施是否得力。</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3</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质量管理体系与措施</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10-15</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质量目标是否明确，是否优于招标文件的要求；管理机构是否健全，职责分工是否明确；管理制度是否齐全；实施与监控措施是否全面、有效。</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4</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安全管理体系与措施</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10-15</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安全目标是否明确，是否优于招标文件的要求；管理机构是否健全，职责分工是否明确；管理制度是否齐全；实施与监控措施是否全面、有效。</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6"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5</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环境保护管理体系与措施</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5-10</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环境管理目标是否明确，是否优于招标文件的要求；是否管理机构健全，职责分工是否明确；管理制度是否齐全；实施与监控措施是否全面、有效。</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0"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6</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工程进度计划与保证措施</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10-15</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总工期及节点工期是否满足招标文件要求；施工进度计划内容是否全面</w:t>
            </w:r>
            <w:bookmarkStart w:id="0" w:name="_GoBack"/>
            <w:bookmarkEnd w:id="0"/>
            <w:r>
              <w:rPr>
                <w:rFonts w:hint="eastAsia" w:ascii="宋体" w:hAnsi="宋体" w:eastAsia="宋体" w:cs="仿宋_GB2312"/>
                <w:sz w:val="24"/>
              </w:rPr>
              <w:t>，线路是否清晰、准确、完整，计划编制是否合理、可行；措施是否有力、合理、可行。</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530"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7</w:t>
            </w:r>
          </w:p>
        </w:tc>
        <w:tc>
          <w:tcPr>
            <w:tcW w:w="152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资源配备计划</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5-10</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资源投入计划与施工部署、施工方法及进度计划是否能够相互呼应并较好满足施工需要，调配投入计划是否合理、准确。</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jc w:val="center"/>
        </w:trPr>
        <w:tc>
          <w:tcPr>
            <w:tcW w:w="530"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8</w:t>
            </w:r>
          </w:p>
        </w:tc>
        <w:tc>
          <w:tcPr>
            <w:tcW w:w="1526"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BIM技术应用（如有）</w:t>
            </w:r>
          </w:p>
        </w:tc>
        <w:tc>
          <w:tcPr>
            <w:tcW w:w="836"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0-10</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BIM技术应用管理体系是否健全，管理制度、保障措施是否齐全；BIM应用流程与计划是否完整、有效；重点工艺节点及施工流程BIM三维模型科学、合理等。</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jc w:val="center"/>
        </w:trPr>
        <w:tc>
          <w:tcPr>
            <w:tcW w:w="530"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9</w:t>
            </w:r>
          </w:p>
        </w:tc>
        <w:tc>
          <w:tcPr>
            <w:tcW w:w="1526"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其他</w:t>
            </w:r>
          </w:p>
        </w:tc>
        <w:tc>
          <w:tcPr>
            <w:tcW w:w="836" w:type="dxa"/>
            <w:noWrap w:val="0"/>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0-10</w:t>
            </w:r>
          </w:p>
        </w:tc>
        <w:tc>
          <w:tcPr>
            <w:tcW w:w="10439" w:type="dxa"/>
            <w:noWrap w:val="0"/>
            <w:tcMar>
              <w:top w:w="15" w:type="dxa"/>
              <w:left w:w="15" w:type="dxa"/>
              <w:bottom w:w="0" w:type="dxa"/>
              <w:right w:w="15" w:type="dxa"/>
            </w:tcMar>
            <w:vAlign w:val="center"/>
          </w:tcPr>
          <w:p>
            <w:pPr>
              <w:spacing w:line="340" w:lineRule="exact"/>
              <w:ind w:left="160" w:leftChars="50" w:right="160" w:rightChars="50"/>
              <w:rPr>
                <w:rFonts w:ascii="宋体" w:hAnsi="宋体" w:eastAsia="宋体" w:cs="仿宋_GB2312"/>
                <w:sz w:val="24"/>
              </w:rPr>
            </w:pPr>
            <w:r>
              <w:rPr>
                <w:rFonts w:hint="eastAsia" w:ascii="宋体" w:hAnsi="宋体" w:eastAsia="宋体" w:cs="仿宋_GB2312"/>
                <w:sz w:val="24"/>
              </w:rPr>
              <w:t>招标人其他要求（如有）</w:t>
            </w:r>
          </w:p>
        </w:tc>
        <w:tc>
          <w:tcPr>
            <w:tcW w:w="778"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jc w:val="center"/>
        </w:trPr>
        <w:tc>
          <w:tcPr>
            <w:tcW w:w="2056" w:type="dxa"/>
            <w:gridSpan w:val="2"/>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合计</w:t>
            </w:r>
          </w:p>
        </w:tc>
        <w:tc>
          <w:tcPr>
            <w:tcW w:w="836" w:type="dxa"/>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r>
              <w:rPr>
                <w:rFonts w:hint="eastAsia" w:ascii="宋体" w:hAnsi="宋体" w:eastAsia="宋体" w:cs="仿宋_GB2312"/>
                <w:sz w:val="24"/>
              </w:rPr>
              <w:t>100</w:t>
            </w:r>
          </w:p>
        </w:tc>
        <w:tc>
          <w:tcPr>
            <w:tcW w:w="11217" w:type="dxa"/>
            <w:gridSpan w:val="2"/>
            <w:noWrap w:val="0"/>
            <w:tcMar>
              <w:top w:w="15" w:type="dxa"/>
              <w:left w:w="15" w:type="dxa"/>
              <w:bottom w:w="0" w:type="dxa"/>
              <w:right w:w="15" w:type="dxa"/>
            </w:tcMar>
            <w:vAlign w:val="center"/>
          </w:tcPr>
          <w:p>
            <w:pPr>
              <w:spacing w:line="340" w:lineRule="exact"/>
              <w:jc w:val="center"/>
              <w:rPr>
                <w:rFonts w:ascii="宋体" w:hAnsi="宋体" w:eastAsia="宋体" w:cs="仿宋_GB2312"/>
                <w:sz w:val="24"/>
              </w:rPr>
            </w:pPr>
          </w:p>
        </w:tc>
      </w:tr>
    </w:tbl>
    <w:p>
      <w:pPr>
        <w:spacing w:line="320" w:lineRule="exact"/>
        <w:jc w:val="left"/>
        <w:rPr>
          <w:rFonts w:hint="eastAsia" w:ascii="宋体" w:hAnsi="宋体" w:eastAsia="宋体" w:cs="仿宋_GB2312"/>
          <w:sz w:val="24"/>
        </w:rPr>
      </w:pPr>
      <w:r>
        <w:rPr>
          <w:rFonts w:hint="eastAsia" w:ascii="宋体" w:hAnsi="宋体" w:eastAsia="宋体" w:cs="仿宋_GB2312"/>
          <w:sz w:val="24"/>
        </w:rPr>
        <w:t xml:space="preserve">1．适用于施工组织设计采用计分评审的项目。                                                                                                                                              2．采用暗标方式，施工组织设计文件一般不超过500页。                                                                                                                                           </w:t>
      </w:r>
    </w:p>
    <w:p>
      <w:pPr>
        <w:spacing w:line="320" w:lineRule="exact"/>
        <w:jc w:val="left"/>
        <w:rPr>
          <w:rFonts w:hint="eastAsia" w:ascii="宋体" w:hAnsi="宋体" w:eastAsia="宋体" w:cs="仿宋_GB2312"/>
          <w:sz w:val="24"/>
        </w:rPr>
      </w:pPr>
      <w:r>
        <w:rPr>
          <w:rFonts w:hint="eastAsia" w:ascii="宋体" w:hAnsi="宋体" w:eastAsia="宋体" w:cs="仿宋_GB2312"/>
          <w:sz w:val="24"/>
        </w:rPr>
        <w:t>3．招标人应根据项目的特点在分值范围内设置各评审项目的具体分值，各项分值之和为100分；</w:t>
      </w:r>
    </w:p>
    <w:p>
      <w:pPr>
        <w:spacing w:line="320" w:lineRule="exact"/>
        <w:jc w:val="left"/>
        <w:rPr>
          <w:rFonts w:hint="eastAsia" w:ascii="宋体" w:hAnsi="宋体" w:eastAsia="宋体" w:cs="仿宋_GB2312"/>
          <w:sz w:val="24"/>
        </w:rPr>
      </w:pPr>
      <w:r>
        <w:rPr>
          <w:rFonts w:hint="eastAsia" w:ascii="宋体" w:hAnsi="宋体" w:eastAsia="宋体" w:cs="仿宋_GB2312"/>
          <w:sz w:val="24"/>
        </w:rPr>
        <w:t>4．计分表中的评审标准为通用模板，招标人可根据项目的实际情况在评审标准的招标人其他要求中进行补充；</w:t>
      </w:r>
    </w:p>
    <w:p>
      <w:pPr>
        <w:spacing w:line="320" w:lineRule="exact"/>
        <w:jc w:val="left"/>
        <w:rPr>
          <w:rFonts w:hint="eastAsia" w:ascii="宋体" w:hAnsi="宋体" w:eastAsia="宋体" w:cs="仿宋_GB2312"/>
          <w:sz w:val="24"/>
        </w:rPr>
      </w:pPr>
      <w:r>
        <w:rPr>
          <w:rFonts w:hint="eastAsia" w:ascii="宋体" w:hAnsi="宋体" w:eastAsia="宋体" w:cs="仿宋_GB2312"/>
          <w:sz w:val="24"/>
        </w:rPr>
        <w:t>5．单独招标的专业工程、园林绿化工程，招标人可根据项目实际情况对评审计分表中的评审项目、评审标准进行适当调整；</w:t>
      </w:r>
    </w:p>
    <w:p>
      <w:pPr>
        <w:spacing w:line="320" w:lineRule="exact"/>
        <w:jc w:val="left"/>
        <w:rPr>
          <w:rFonts w:hint="eastAsia" w:ascii="宋体" w:hAnsi="宋体" w:eastAsia="宋体" w:cs="仿宋_GB2312"/>
          <w:sz w:val="24"/>
        </w:rPr>
      </w:pPr>
      <w:r>
        <w:rPr>
          <w:rFonts w:hint="eastAsia" w:ascii="宋体" w:hAnsi="宋体" w:eastAsia="宋体" w:cs="仿宋_GB2312"/>
          <w:sz w:val="24"/>
        </w:rPr>
        <w:t>6．缺失某项评审因素的，该项计零分；</w:t>
      </w:r>
    </w:p>
    <w:p>
      <w:pPr>
        <w:spacing w:line="320" w:lineRule="exact"/>
        <w:jc w:val="left"/>
        <w:rPr>
          <w:rFonts w:hint="eastAsia" w:ascii="宋体" w:hAnsi="宋体" w:eastAsia="宋体" w:cs="仿宋_GB2312"/>
          <w:sz w:val="24"/>
        </w:rPr>
      </w:pPr>
      <w:r>
        <w:rPr>
          <w:rFonts w:hint="eastAsia" w:ascii="宋体" w:hAnsi="宋体" w:eastAsia="宋体" w:cs="仿宋_GB2312"/>
          <w:sz w:val="24"/>
        </w:rPr>
        <w:t xml:space="preserve">7．评标委员会成员对单项评审因素评审应当在规定的区间内计分，评标委员会成员对各项因素的评分不得低于招标文件规定该因素满分值的80%；评分低于满分值85%的或高于满分分值95%的，评标委员会成员应当在评标报告中作出说明； </w:t>
      </w:r>
    </w:p>
    <w:p>
      <w:pPr>
        <w:spacing w:line="320" w:lineRule="exact"/>
        <w:jc w:val="left"/>
        <w:rPr>
          <w:rFonts w:hint="eastAsia" w:ascii="宋体" w:hAnsi="宋体" w:eastAsia="宋体" w:cs="仿宋_GB2312"/>
          <w:sz w:val="24"/>
        </w:rPr>
      </w:pPr>
      <w:r>
        <w:rPr>
          <w:rFonts w:hint="eastAsia" w:ascii="宋体" w:hAnsi="宋体" w:eastAsia="宋体" w:cs="仿宋_GB2312"/>
          <w:sz w:val="24"/>
        </w:rPr>
        <w:t>8．由评标委员会独立评审计分，投标人的施工组织设计得分为去掉一个评审计分最高分和一个最低分后的算术平均值。</w:t>
      </w:r>
    </w:p>
    <w:p>
      <w:pPr>
        <w:spacing w:line="320" w:lineRule="exact"/>
        <w:jc w:val="left"/>
        <w:rPr>
          <w:rFonts w:hint="eastAsia" w:ascii="宋体" w:hAnsi="宋体" w:eastAsia="宋体" w:cs="仿宋_GB2312"/>
          <w:sz w:val="24"/>
        </w:rPr>
      </w:pPr>
    </w:p>
    <w:p>
      <w:pPr>
        <w:spacing w:line="320" w:lineRule="exact"/>
        <w:jc w:val="left"/>
        <w:rPr>
          <w:rFonts w:hint="eastAsia" w:ascii="宋体" w:hAnsi="宋体" w:eastAsia="宋体" w:cs="仿宋_GB2312"/>
          <w:sz w:val="24"/>
        </w:rPr>
      </w:pPr>
    </w:p>
    <w:p>
      <w:pPr>
        <w:spacing w:line="320" w:lineRule="exact"/>
        <w:jc w:val="left"/>
        <w:rPr>
          <w:rFonts w:hint="eastAsia" w:ascii="宋体" w:hAnsi="宋体" w:eastAsia="宋体" w:cs="仿宋_GB2312"/>
          <w:sz w:val="24"/>
        </w:rPr>
      </w:pPr>
    </w:p>
    <w:p>
      <w:pPr>
        <w:spacing w:line="320" w:lineRule="exact"/>
        <w:jc w:val="left"/>
        <w:rPr>
          <w:rFonts w:hint="eastAsia" w:ascii="宋体" w:hAnsi="宋体" w:eastAsia="宋体" w:cs="仿宋_GB2312"/>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50395"/>
    <w:rsid w:val="07C5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2021-10-27T01:43:00Z</dcterms:created>
  <dc:creator>黑书包</dc:creator>
  <cp:lastModifiedBy>黑书包</cp:lastModifiedBy>
  <dcterms:modified xsi:type="dcterms:W3CDTF">2021-10-27T01:46:30Z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